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E19A7E" w14:textId="77777777" w:rsidR="00EA4E60" w:rsidRDefault="00EA4E60" w:rsidP="00EA4E60">
      <w:pPr>
        <w:pStyle w:val="Title"/>
      </w:pPr>
      <w:r>
        <w:t xml:space="preserve">NADPVIC2021: </w:t>
      </w:r>
      <w:r w:rsidRPr="00042BEA">
        <w:t>Joining the dots of inclusive practice – what is the picture now?</w:t>
      </w:r>
    </w:p>
    <w:p w14:paraId="4793DFEB" w14:textId="2A826D02" w:rsidR="00EA4E60" w:rsidRDefault="000065CC" w:rsidP="00EA4E60">
      <w:pPr>
        <w:pStyle w:val="Heading1"/>
        <w:rPr>
          <w:lang w:eastAsia="en-GB"/>
        </w:rPr>
      </w:pPr>
      <w:r>
        <w:rPr>
          <w:bCs/>
          <w:lang w:eastAsia="en-GB"/>
        </w:rPr>
        <w:t xml:space="preserve">Decolonising DMU: </w:t>
      </w:r>
      <w:r w:rsidR="00EA4E60" w:rsidRPr="00EA4E60">
        <w:rPr>
          <w:bCs/>
          <w:lang w:eastAsia="en-GB"/>
        </w:rPr>
        <w:t>UDL and decolonising disability services</w:t>
      </w:r>
      <w:r w:rsidR="00EA4E60">
        <w:rPr>
          <w:bCs/>
          <w:lang w:eastAsia="en-GB"/>
        </w:rPr>
        <w:br/>
      </w:r>
      <w:r w:rsidR="00EA4E60">
        <w:rPr>
          <w:lang w:eastAsia="en-GB"/>
        </w:rPr>
        <w:t>Rachel Davies, De Montfort University</w:t>
      </w:r>
    </w:p>
    <w:p w14:paraId="0F02060D" w14:textId="60078717" w:rsidR="00EA4E60" w:rsidRDefault="00EA4E60" w:rsidP="00EA4E60">
      <w:pPr>
        <w:pStyle w:val="Heading2"/>
        <w:rPr>
          <w:lang w:eastAsia="en-GB"/>
        </w:rPr>
      </w:pPr>
      <w:r>
        <w:rPr>
          <w:color w:val="000000"/>
          <w:lang w:eastAsia="en-GB"/>
        </w:rPr>
        <w:t xml:space="preserve">Slide 1: </w:t>
      </w:r>
    </w:p>
    <w:p w14:paraId="5B553DE6" w14:textId="37706AC6" w:rsidR="00AA51E6" w:rsidRDefault="00506A10">
      <w:r>
        <w:t xml:space="preserve">De Montfort University: </w:t>
      </w:r>
      <w:r w:rsidR="00FE7497">
        <w:t>D</w:t>
      </w:r>
      <w:r>
        <w:t>ecolonising DMU</w:t>
      </w:r>
    </w:p>
    <w:p w14:paraId="2E2D8BE9" w14:textId="1BD67192" w:rsidR="00506A10" w:rsidRDefault="00506A10" w:rsidP="00506A10">
      <w:pPr>
        <w:pStyle w:val="Heading2"/>
      </w:pPr>
      <w:r>
        <w:t>Slide 2: Introduction</w:t>
      </w:r>
    </w:p>
    <w:p w14:paraId="7580EC81" w14:textId="77777777" w:rsidR="00506A10" w:rsidRPr="00506A10" w:rsidRDefault="00506A10" w:rsidP="00506A10">
      <w:r w:rsidRPr="00506A10">
        <w:t xml:space="preserve">Hello, my name’s Rachel Davies &amp; I’m part of the Disability Advice &amp; Support team at De Montfort University. </w:t>
      </w:r>
    </w:p>
    <w:p w14:paraId="6DFDFCAF" w14:textId="77777777" w:rsidR="00506A10" w:rsidRPr="00506A10" w:rsidRDefault="00506A10" w:rsidP="00506A10">
      <w:r w:rsidRPr="00506A10">
        <w:t xml:space="preserve">In this video </w:t>
      </w:r>
      <w:proofErr w:type="gramStart"/>
      <w:r w:rsidRPr="00506A10">
        <w:t>I’m</w:t>
      </w:r>
      <w:proofErr w:type="gramEnd"/>
      <w:r w:rsidRPr="00506A10">
        <w:t xml:space="preserve"> going to be talking about UDL and the process of decolonising disability services.</w:t>
      </w:r>
    </w:p>
    <w:p w14:paraId="43D3AE19" w14:textId="4DEE4EC3" w:rsidR="00506A10" w:rsidRPr="00506A10" w:rsidRDefault="00506A10" w:rsidP="00506A10">
      <w:r w:rsidRPr="00506A10">
        <w:t xml:space="preserve">Decolonising our disability service is a process </w:t>
      </w:r>
      <w:proofErr w:type="gramStart"/>
      <w:r w:rsidRPr="00506A10">
        <w:t>we’re</w:t>
      </w:r>
      <w:proofErr w:type="gramEnd"/>
      <w:r w:rsidRPr="00506A10">
        <w:t xml:space="preserve"> currently engaged in at DMU, as I’ll describe, but we are early on in our journey. What I hope to do today is encourage you to consider who uses your disability service, and why, and how a UDL policy, institution-wide, has the potential to address, in part, inequalities in the use of traditional disability services. Today, I aim to pose more questions than </w:t>
      </w:r>
      <w:proofErr w:type="gramStart"/>
      <w:r w:rsidRPr="00506A10">
        <w:t>I’ll</w:t>
      </w:r>
      <w:proofErr w:type="gramEnd"/>
      <w:r w:rsidRPr="00506A10">
        <w:t xml:space="preserve"> give answers to, and I hope you’ll continue this debate more widely, once you’ve finished watching.</w:t>
      </w:r>
    </w:p>
    <w:p w14:paraId="0CCFBD51" w14:textId="728B17EF" w:rsidR="00506A10" w:rsidRDefault="00506A10" w:rsidP="00506A10">
      <w:pPr>
        <w:pStyle w:val="Heading2"/>
      </w:pPr>
      <w:r>
        <w:t xml:space="preserve">Slide 3: </w:t>
      </w:r>
      <w:r w:rsidRPr="00506A10">
        <w:t>Before we start, a word about terminology…</w:t>
      </w:r>
    </w:p>
    <w:p w14:paraId="2ED471BF" w14:textId="77777777" w:rsidR="00506A10" w:rsidRPr="00506A10" w:rsidRDefault="00506A10" w:rsidP="00506A10">
      <w:r w:rsidRPr="00506A10">
        <w:rPr>
          <w:lang w:val="en-US"/>
        </w:rPr>
        <w:t xml:space="preserve">Beyond BAME: Rethinking the politics, construction, application, and efficacy of ethnic categorization. </w:t>
      </w:r>
    </w:p>
    <w:p w14:paraId="271C7DFC" w14:textId="77777777" w:rsidR="00506A10" w:rsidRPr="00506A10" w:rsidRDefault="00506A10" w:rsidP="00506A10">
      <w:r w:rsidRPr="00506A10">
        <w:rPr>
          <w:lang w:val="en-US"/>
        </w:rPr>
        <w:t xml:space="preserve">Chrissie DaCosta, Steven Dixon-Smith and </w:t>
      </w:r>
      <w:proofErr w:type="spellStart"/>
      <w:r w:rsidRPr="00506A10">
        <w:rPr>
          <w:lang w:val="en-US"/>
        </w:rPr>
        <w:t>Gurnam</w:t>
      </w:r>
      <w:proofErr w:type="spellEnd"/>
      <w:r w:rsidRPr="00506A10">
        <w:rPr>
          <w:lang w:val="en-US"/>
        </w:rPr>
        <w:t xml:space="preserve"> Singh.</w:t>
      </w:r>
    </w:p>
    <w:p w14:paraId="0B19FEF9" w14:textId="77777777" w:rsidR="00506A10" w:rsidRPr="00506A10" w:rsidRDefault="00506A10" w:rsidP="00506A10">
      <w:r w:rsidRPr="00506A10">
        <w:rPr>
          <w:lang w:val="en-US"/>
        </w:rPr>
        <w:t>April 2021</w:t>
      </w:r>
    </w:p>
    <w:p w14:paraId="7F574270" w14:textId="77777777" w:rsidR="00506A10" w:rsidRPr="00506A10" w:rsidRDefault="00BE5241" w:rsidP="00506A10">
      <w:hyperlink r:id="rId5" w:history="1">
        <w:r w:rsidR="00506A10" w:rsidRPr="00506A10">
          <w:rPr>
            <w:rStyle w:val="Hyperlink"/>
            <w:lang w:val="en-US"/>
          </w:rPr>
          <w:t>downloadable here</w:t>
        </w:r>
      </w:hyperlink>
    </w:p>
    <w:p w14:paraId="20FB8851" w14:textId="77777777" w:rsidR="00506A10" w:rsidRDefault="00506A10" w:rsidP="00506A10">
      <w:r w:rsidRPr="00506A10">
        <w:t xml:space="preserve">In this presentation I am going to be using the term “BAME” to describe students. BAME is a highly problematic term, not least because it tends to homogenise students’ identities and experiences. If </w:t>
      </w:r>
      <w:proofErr w:type="gramStart"/>
      <w:r w:rsidRPr="00506A10">
        <w:t>you’re</w:t>
      </w:r>
      <w:proofErr w:type="gramEnd"/>
      <w:r w:rsidRPr="00506A10">
        <w:t xml:space="preserve"> interested in exploring this terminology further</w:t>
      </w:r>
      <w:r>
        <w:t>,</w:t>
      </w:r>
      <w:r w:rsidRPr="00506A10">
        <w:t xml:space="preserve"> then I’d recommend looking at the paper up on screen which is a good summary of the current debates in HE about terminology. </w:t>
      </w:r>
    </w:p>
    <w:p w14:paraId="6C6178ED" w14:textId="7D076D5D" w:rsidR="00506A10" w:rsidRPr="00506A10" w:rsidRDefault="00506A10" w:rsidP="00506A10">
      <w:proofErr w:type="gramStart"/>
      <w:r w:rsidRPr="00506A10">
        <w:t>I’ve</w:t>
      </w:r>
      <w:proofErr w:type="gramEnd"/>
      <w:r w:rsidRPr="00506A10">
        <w:t xml:space="preserve"> decided to use BAME in this presentation because I am going to be discussing demographic data, and BAME is the language currently used in official data collection and statistics production in the sector. Additionally, </w:t>
      </w:r>
      <w:r w:rsidRPr="00506A10">
        <w:lastRenderedPageBreak/>
        <w:t xml:space="preserve">using </w:t>
      </w:r>
      <w:r w:rsidRPr="00506A10">
        <w:rPr>
          <w:lang w:val="en-US"/>
        </w:rPr>
        <w:t xml:space="preserve">“white” and “BAME”, to talk about groups of students, enables students to remain unidentified (the numbers of students who use our services from some ethnic groups is incredibly small, and presenting data in that way may be identifying). However, as the data </w:t>
      </w:r>
      <w:proofErr w:type="gramStart"/>
      <w:r w:rsidRPr="00506A10">
        <w:rPr>
          <w:lang w:val="en-US"/>
        </w:rPr>
        <w:t>we’re</w:t>
      </w:r>
      <w:proofErr w:type="gramEnd"/>
      <w:r w:rsidRPr="00506A10">
        <w:rPr>
          <w:lang w:val="en-US"/>
        </w:rPr>
        <w:t xml:space="preserve"> going to be looking at shows, nationally there is wide variation in how students from different ethnic groups experience university, and that’s crucial to take account of at a local level.</w:t>
      </w:r>
    </w:p>
    <w:p w14:paraId="5D2225E2" w14:textId="3A7913A1" w:rsidR="00506A10" w:rsidRDefault="00506A10" w:rsidP="00506A10">
      <w:pPr>
        <w:pStyle w:val="Heading2"/>
      </w:pPr>
      <w:r>
        <w:t>Slide 4: the national context</w:t>
      </w:r>
    </w:p>
    <w:p w14:paraId="47D0DCF6" w14:textId="77777777" w:rsidR="00506A10" w:rsidRPr="00506A10" w:rsidRDefault="00506A10" w:rsidP="00506A10">
      <w:r w:rsidRPr="00506A10">
        <w:t>Degree Awarding Gap</w:t>
      </w:r>
    </w:p>
    <w:p w14:paraId="32B9975E" w14:textId="77777777" w:rsidR="00506A10" w:rsidRPr="00506A10" w:rsidRDefault="00506A10" w:rsidP="00506A10">
      <w:pPr>
        <w:numPr>
          <w:ilvl w:val="0"/>
          <w:numId w:val="1"/>
        </w:numPr>
      </w:pPr>
      <w:r w:rsidRPr="00506A10">
        <w:t>Gap between white &amp; BAME students obtaining 1st &amp; 2:1 is 13.3% </w:t>
      </w:r>
    </w:p>
    <w:p w14:paraId="14F0CE5D" w14:textId="02831790" w:rsidR="00506A10" w:rsidRDefault="00506A10" w:rsidP="00506A10">
      <w:pPr>
        <w:numPr>
          <w:ilvl w:val="0"/>
          <w:numId w:val="1"/>
        </w:numPr>
      </w:pPr>
      <w:r w:rsidRPr="00506A10">
        <w:t>Variation across ethnicities: Black African (23.3%), Black Caribbean (19.2%) and other Black background (24.4%) Chinese (4.4%), mixed (4.8%) and Asian Indian (4.8%) (Students statistical report 2020, Advance HE)</w:t>
      </w:r>
    </w:p>
    <w:p w14:paraId="7A2BA3AF" w14:textId="77336F81" w:rsidR="00D9577F" w:rsidRPr="00506A10" w:rsidRDefault="00D9577F" w:rsidP="00D9577F">
      <w:r>
        <w:t xml:space="preserve">So, the national context. Well nationally there is a well-established degree awarding gap between white and BAME students obtaining firsts and 2.1s. So that gap is 13.3% nationally. There is, however, quite a lot of variation across ethnicities. So, for example, the awarding gap between white students and Black African students is 23.3 nationally but between white students and Asian Indian students </w:t>
      </w:r>
      <w:proofErr w:type="gramStart"/>
      <w:r>
        <w:t>it's</w:t>
      </w:r>
      <w:proofErr w:type="gramEnd"/>
      <w:r>
        <w:t xml:space="preserve"> 4.8 nationally. </w:t>
      </w:r>
      <w:proofErr w:type="gramStart"/>
      <w:r>
        <w:t>So</w:t>
      </w:r>
      <w:proofErr w:type="gramEnd"/>
      <w:r>
        <w:t xml:space="preserve"> there's an enormous amount of variation between particular ethnic groups and these figures, of course, are changing all the time and you will have information in your own institution about your particular degree awarding gap.</w:t>
      </w:r>
    </w:p>
    <w:p w14:paraId="51F2D377" w14:textId="61492422" w:rsidR="00506A10" w:rsidRDefault="00506A10" w:rsidP="00506A10">
      <w:pPr>
        <w:pStyle w:val="Heading2"/>
      </w:pPr>
      <w:r>
        <w:t xml:space="preserve">Slide 5: </w:t>
      </w:r>
      <w:r w:rsidRPr="00506A10">
        <w:t>This is our decolonisation project</w:t>
      </w:r>
    </w:p>
    <w:p w14:paraId="2458DAA4" w14:textId="77777777" w:rsidR="00506A10" w:rsidRPr="00506A10" w:rsidRDefault="00506A10" w:rsidP="00506A10">
      <w:proofErr w:type="spellStart"/>
      <w:r w:rsidRPr="00506A10">
        <w:rPr>
          <w:lang w:val="en-US"/>
        </w:rPr>
        <w:t>Decolonising</w:t>
      </w:r>
      <w:proofErr w:type="spellEnd"/>
      <w:r w:rsidRPr="00506A10">
        <w:rPr>
          <w:lang w:val="en-US"/>
        </w:rPr>
        <w:t xml:space="preserve"> DMU is a whole institution approach which aims to work towards addressing structural inequality at DMU. This approach is unique in HE as it </w:t>
      </w:r>
      <w:proofErr w:type="spellStart"/>
      <w:r w:rsidRPr="00506A10">
        <w:rPr>
          <w:lang w:val="en-US"/>
        </w:rPr>
        <w:t>recognises</w:t>
      </w:r>
      <w:proofErr w:type="spellEnd"/>
      <w:r w:rsidRPr="00506A10">
        <w:rPr>
          <w:lang w:val="en-US"/>
        </w:rPr>
        <w:t xml:space="preserve"> that </w:t>
      </w:r>
      <w:proofErr w:type="gramStart"/>
      <w:r w:rsidRPr="00506A10">
        <w:rPr>
          <w:lang w:val="en-US"/>
        </w:rPr>
        <w:t>in order to</w:t>
      </w:r>
      <w:proofErr w:type="gramEnd"/>
      <w:r w:rsidRPr="00506A10">
        <w:rPr>
          <w:lang w:val="en-US"/>
        </w:rPr>
        <w:t xml:space="preserve"> address institutional racism and discrimination all university processes, procedures and practices need to be </w:t>
      </w:r>
      <w:proofErr w:type="spellStart"/>
      <w:r w:rsidRPr="00506A10">
        <w:rPr>
          <w:lang w:val="en-US"/>
        </w:rPr>
        <w:t>scrutinised</w:t>
      </w:r>
      <w:proofErr w:type="spellEnd"/>
      <w:r w:rsidRPr="00506A10">
        <w:rPr>
          <w:lang w:val="en-US"/>
        </w:rPr>
        <w:t xml:space="preserve">. It also </w:t>
      </w:r>
      <w:proofErr w:type="spellStart"/>
      <w:r w:rsidRPr="00506A10">
        <w:rPr>
          <w:lang w:val="en-US"/>
        </w:rPr>
        <w:t>recognises</w:t>
      </w:r>
      <w:proofErr w:type="spellEnd"/>
      <w:r w:rsidRPr="00506A10">
        <w:rPr>
          <w:lang w:val="en-US"/>
        </w:rPr>
        <w:t xml:space="preserve"> that the process of </w:t>
      </w:r>
      <w:proofErr w:type="spellStart"/>
      <w:r w:rsidRPr="00506A10">
        <w:rPr>
          <w:lang w:val="en-US"/>
        </w:rPr>
        <w:t>decolonising</w:t>
      </w:r>
      <w:proofErr w:type="spellEnd"/>
      <w:r w:rsidRPr="00506A10">
        <w:rPr>
          <w:lang w:val="en-US"/>
        </w:rPr>
        <w:t xml:space="preserve"> must engage staff and students from across the institution.” </w:t>
      </w:r>
    </w:p>
    <w:p w14:paraId="2D822217" w14:textId="77777777" w:rsidR="00C84680" w:rsidRDefault="00C84680" w:rsidP="00C84680">
      <w:r>
        <w:t xml:space="preserve">So, Decolonising DMU is a project that we started back in 2019 and the key thing about it is it's a whole organisation approach and it's aiming to build an anti-racist university so the scope of our project at DMU is wider than simply decolonising the curriculum and it includes areas like disability services so I’ve highlighted on the slide the relevant parts of our working definition of decolonisation for this video: all staff at the university including the disability team are part of the process of decolonisation and we're looking deeply at how our service runs and who it serves as part of this commitment to “examining the everyday norms of university life.” For example we've long been aware that BAME students make less use of our service than white students do (that's just </w:t>
      </w:r>
      <w:r>
        <w:lastRenderedPageBreak/>
        <w:t>anecdotally from seeing who comes to disability appointments) - back in in the day when we used to do them face to face - and we've also been aware that gender also plays a role in who uses the service so our work to decolonise our service is, however, making us face those disparities head-on and also respond to them take action about them.</w:t>
      </w:r>
    </w:p>
    <w:p w14:paraId="4DFC05BE" w14:textId="4E5A5A84" w:rsidR="00506A10" w:rsidRDefault="00506A10" w:rsidP="00506A10">
      <w:pPr>
        <w:pStyle w:val="Heading2"/>
      </w:pPr>
      <w:r>
        <w:t xml:space="preserve">Slide 6: </w:t>
      </w:r>
      <w:r w:rsidRPr="00506A10">
        <w:t>Why is it an important issue for the disability service at DMU?</w:t>
      </w:r>
    </w:p>
    <w:p w14:paraId="0C25FA49" w14:textId="77777777" w:rsidR="00506A10" w:rsidRPr="00506A10" w:rsidRDefault="00506A10" w:rsidP="00506A10">
      <w:pPr>
        <w:numPr>
          <w:ilvl w:val="0"/>
          <w:numId w:val="2"/>
        </w:numPr>
      </w:pPr>
      <w:r w:rsidRPr="00506A10">
        <w:rPr>
          <w:lang w:val="en-US"/>
        </w:rPr>
        <w:t>BAME students are 54% of the student body at DMU; many use English as a second or third language</w:t>
      </w:r>
    </w:p>
    <w:p w14:paraId="27FF8785" w14:textId="77777777" w:rsidR="00506A10" w:rsidRPr="00506A10" w:rsidRDefault="00506A10" w:rsidP="00506A10">
      <w:pPr>
        <w:numPr>
          <w:ilvl w:val="0"/>
          <w:numId w:val="2"/>
        </w:numPr>
      </w:pPr>
      <w:r w:rsidRPr="00506A10">
        <w:rPr>
          <w:lang w:val="en-US"/>
        </w:rPr>
        <w:t>Over 2,500 international students from more than 130 countries</w:t>
      </w:r>
    </w:p>
    <w:p w14:paraId="10FECF11" w14:textId="77777777" w:rsidR="00506A10" w:rsidRPr="00506A10" w:rsidRDefault="00506A10" w:rsidP="00506A10">
      <w:pPr>
        <w:numPr>
          <w:ilvl w:val="0"/>
          <w:numId w:val="2"/>
        </w:numPr>
      </w:pPr>
      <w:r w:rsidRPr="00506A10">
        <w:rPr>
          <w:lang w:val="en-US"/>
        </w:rPr>
        <w:t xml:space="preserve">Diverse identities and lived </w:t>
      </w:r>
      <w:proofErr w:type="gramStart"/>
      <w:r w:rsidRPr="00506A10">
        <w:rPr>
          <w:lang w:val="en-US"/>
        </w:rPr>
        <w:t>experiences;</w:t>
      </w:r>
      <w:proofErr w:type="gramEnd"/>
      <w:r w:rsidRPr="00506A10">
        <w:rPr>
          <w:lang w:val="en-US"/>
        </w:rPr>
        <w:t xml:space="preserve"> complex and fluid</w:t>
      </w:r>
    </w:p>
    <w:p w14:paraId="1A5A7248" w14:textId="77777777" w:rsidR="00506A10" w:rsidRPr="00506A10" w:rsidRDefault="00506A10" w:rsidP="00506A10">
      <w:pPr>
        <w:numPr>
          <w:ilvl w:val="0"/>
          <w:numId w:val="2"/>
        </w:numPr>
      </w:pPr>
      <w:r w:rsidRPr="00506A10">
        <w:rPr>
          <w:lang w:val="en-US"/>
        </w:rPr>
        <w:t>Overall awarding gap at DMU (2018/19) 15.6%</w:t>
      </w:r>
    </w:p>
    <w:p w14:paraId="1ADEE2FD" w14:textId="77777777" w:rsidR="00506A10" w:rsidRPr="00506A10" w:rsidRDefault="00506A10" w:rsidP="00506A10">
      <w:pPr>
        <w:numPr>
          <w:ilvl w:val="0"/>
          <w:numId w:val="2"/>
        </w:numPr>
      </w:pPr>
      <w:r w:rsidRPr="00506A10">
        <w:rPr>
          <w:lang w:val="en-US"/>
        </w:rPr>
        <w:t>Roughly 20% of students disclose a disability</w:t>
      </w:r>
    </w:p>
    <w:p w14:paraId="73B6CB8A" w14:textId="77777777" w:rsidR="00506A10" w:rsidRPr="00506A10" w:rsidRDefault="00506A10" w:rsidP="00506A10">
      <w:pPr>
        <w:numPr>
          <w:ilvl w:val="0"/>
          <w:numId w:val="2"/>
        </w:numPr>
      </w:pPr>
      <w:r w:rsidRPr="00506A10">
        <w:rPr>
          <w:lang w:val="en-US"/>
        </w:rPr>
        <w:t>UDL Policy well established in Teaching &amp; Learning strategy</w:t>
      </w:r>
    </w:p>
    <w:p w14:paraId="46AB5FD9" w14:textId="77777777" w:rsidR="00506A10" w:rsidRPr="00506A10" w:rsidRDefault="00506A10" w:rsidP="00506A10">
      <w:pPr>
        <w:numPr>
          <w:ilvl w:val="0"/>
          <w:numId w:val="2"/>
        </w:numPr>
      </w:pPr>
      <w:r w:rsidRPr="00506A10">
        <w:rPr>
          <w:lang w:val="en-US"/>
        </w:rPr>
        <w:t>UDL part of PGCAP</w:t>
      </w:r>
    </w:p>
    <w:p w14:paraId="267D720A" w14:textId="77777777" w:rsidR="00C84680" w:rsidRDefault="00C84680" w:rsidP="00C84680">
      <w:r>
        <w:t xml:space="preserve">So why is this an important issue for our service at DMU? Well in terms of the context of our work, </w:t>
      </w:r>
      <w:proofErr w:type="gramStart"/>
      <w:r>
        <w:t>we're</w:t>
      </w:r>
      <w:proofErr w:type="gramEnd"/>
      <w:r>
        <w:t xml:space="preserve"> quite a large university with around 26,000 students and most of those study on campus in normal times.</w:t>
      </w:r>
    </w:p>
    <w:p w14:paraId="358CBCBB" w14:textId="77777777" w:rsidR="00C84680" w:rsidRDefault="00C84680" w:rsidP="00C84680">
      <w:r>
        <w:t xml:space="preserve">Slightly less than half of our students are male but BAME students are 54 of the student body at DMU and many of our students have English as a second or third language and we have over two and a half thousand international students coming from 130 different countries. So, our students have got very diverse identities have very different lived experiences. </w:t>
      </w:r>
      <w:proofErr w:type="gramStart"/>
      <w:r>
        <w:t>They're</w:t>
      </w:r>
      <w:proofErr w:type="gramEnd"/>
      <w:r>
        <w:t xml:space="preserve"> a complex group and a fluid group. So, it changes constantly. </w:t>
      </w:r>
      <w:proofErr w:type="gramStart"/>
      <w:r>
        <w:t>Overall</w:t>
      </w:r>
      <w:proofErr w:type="gramEnd"/>
      <w:r>
        <w:t xml:space="preserve"> we have an awarding gap at DMU (back in 2018-19) of 15.6 although I’m happy to say that it's improved significantly since then and about 20% of our students disclose a disability and widening participation is absolutely key for DMU. </w:t>
      </w:r>
    </w:p>
    <w:p w14:paraId="73311644" w14:textId="77777777" w:rsidR="00C84680" w:rsidRDefault="00C84680" w:rsidP="00C84680">
      <w:r>
        <w:t xml:space="preserve">We offer many, many vocational degrees, alongside the more traditional academic subjects and many of our students are drawn from the local population here in Leicester and the wider East Midlands. Interestingly, although </w:t>
      </w:r>
      <w:proofErr w:type="gramStart"/>
      <w:r>
        <w:t>we've</w:t>
      </w:r>
      <w:proofErr w:type="gramEnd"/>
      <w:r>
        <w:t xml:space="preserve"> got one in five of our students declaring a disability currently, and we recently had a new VC who announced when she started that we “don't have a disability attainment gap”. That headline finding conceals a much more complex situation which we'll look at </w:t>
      </w:r>
      <w:proofErr w:type="gramStart"/>
      <w:r>
        <w:t>shortly</w:t>
      </w:r>
      <w:proofErr w:type="gramEnd"/>
      <w:r>
        <w:t xml:space="preserve"> but we would expect the users of our disability services to be composed of similar proportions of white students, BAME students and male students, female students as the wider university. </w:t>
      </w:r>
    </w:p>
    <w:p w14:paraId="28807B15" w14:textId="3D3021B8" w:rsidR="00C84680" w:rsidRDefault="00C84680" w:rsidP="00C84680">
      <w:r>
        <w:lastRenderedPageBreak/>
        <w:t xml:space="preserve">Now DMU </w:t>
      </w:r>
      <w:proofErr w:type="gramStart"/>
      <w:r>
        <w:t>we've</w:t>
      </w:r>
      <w:proofErr w:type="gramEnd"/>
      <w:r>
        <w:t xml:space="preserve"> got a very well established UDL policy. </w:t>
      </w:r>
      <w:proofErr w:type="gramStart"/>
      <w:r>
        <w:t>It's</w:t>
      </w:r>
      <w:proofErr w:type="gramEnd"/>
      <w:r>
        <w:t xml:space="preserve"> been in place for more than five years and it's embedded within the university teaching and learning strategy currently. </w:t>
      </w:r>
      <w:proofErr w:type="gramStart"/>
      <w:r>
        <w:t>It's</w:t>
      </w:r>
      <w:proofErr w:type="gramEnd"/>
      <w:r>
        <w:t xml:space="preserve"> also embedded within training for lecturing staff so, for example, the PGCAP, which new lecturers have to complete when they join the university.</w:t>
      </w:r>
    </w:p>
    <w:p w14:paraId="05777240" w14:textId="7B207DA1" w:rsidR="00506A10" w:rsidRDefault="00506A10" w:rsidP="00506A10">
      <w:pPr>
        <w:pStyle w:val="Heading2"/>
      </w:pPr>
      <w:r>
        <w:t xml:space="preserve">Slide 7: </w:t>
      </w:r>
      <w:r w:rsidRPr="00506A10">
        <w:t>What are we doing to decolonise ou</w:t>
      </w:r>
      <w:r>
        <w:t>r</w:t>
      </w:r>
      <w:r w:rsidRPr="00506A10">
        <w:t xml:space="preserve"> disability service?</w:t>
      </w:r>
    </w:p>
    <w:p w14:paraId="3306664B" w14:textId="77777777" w:rsidR="00506A10" w:rsidRPr="00506A10" w:rsidRDefault="00506A10" w:rsidP="00506A10">
      <w:pPr>
        <w:numPr>
          <w:ilvl w:val="0"/>
          <w:numId w:val="3"/>
        </w:numPr>
      </w:pPr>
      <w:r w:rsidRPr="00506A10">
        <w:t xml:space="preserve">Finding data – more difficult than </w:t>
      </w:r>
      <w:proofErr w:type="gramStart"/>
      <w:r w:rsidRPr="00506A10">
        <w:t>you’d</w:t>
      </w:r>
      <w:proofErr w:type="gramEnd"/>
      <w:r w:rsidRPr="00506A10">
        <w:t xml:space="preserve"> think!</w:t>
      </w:r>
    </w:p>
    <w:p w14:paraId="178F15F4" w14:textId="77777777" w:rsidR="00506A10" w:rsidRPr="00506A10" w:rsidRDefault="00506A10" w:rsidP="00506A10">
      <w:pPr>
        <w:numPr>
          <w:ilvl w:val="0"/>
          <w:numId w:val="3"/>
        </w:numPr>
      </w:pPr>
      <w:r w:rsidRPr="00506A10">
        <w:t>Looking at each element of the service in turn</w:t>
      </w:r>
    </w:p>
    <w:p w14:paraId="6749E8C9" w14:textId="77777777" w:rsidR="00506A10" w:rsidRPr="00506A10" w:rsidRDefault="00506A10" w:rsidP="00506A10">
      <w:pPr>
        <w:numPr>
          <w:ilvl w:val="0"/>
          <w:numId w:val="3"/>
        </w:numPr>
      </w:pPr>
      <w:r w:rsidRPr="00506A10">
        <w:t>Mapping who starts a process and who finishes it</w:t>
      </w:r>
    </w:p>
    <w:p w14:paraId="19745B3C" w14:textId="77777777" w:rsidR="00506A10" w:rsidRPr="00506A10" w:rsidRDefault="00506A10" w:rsidP="00506A10">
      <w:pPr>
        <w:numPr>
          <w:ilvl w:val="0"/>
          <w:numId w:val="3"/>
        </w:numPr>
      </w:pPr>
      <w:r w:rsidRPr="00506A10">
        <w:t>Making action plans where we can see the issue</w:t>
      </w:r>
    </w:p>
    <w:p w14:paraId="1FDCDC13" w14:textId="77777777" w:rsidR="00506A10" w:rsidRPr="00506A10" w:rsidRDefault="00506A10" w:rsidP="00506A10">
      <w:pPr>
        <w:numPr>
          <w:ilvl w:val="0"/>
          <w:numId w:val="3"/>
        </w:numPr>
      </w:pPr>
      <w:r w:rsidRPr="00506A10">
        <w:t>Finding out more about students’ views on our services</w:t>
      </w:r>
    </w:p>
    <w:p w14:paraId="3A8C542B" w14:textId="77777777" w:rsidR="00506A10" w:rsidRPr="00506A10" w:rsidRDefault="00506A10" w:rsidP="00506A10">
      <w:r w:rsidRPr="00506A10">
        <w:t>Our disability service is engaging with the decolonisation project in a variety of ways. Most relevant to this discussion are the points on screen.</w:t>
      </w:r>
    </w:p>
    <w:p w14:paraId="099A9464" w14:textId="77777777" w:rsidR="00506A10" w:rsidRPr="00506A10" w:rsidRDefault="00506A10" w:rsidP="00506A10">
      <w:proofErr w:type="gramStart"/>
      <w:r w:rsidRPr="00506A10">
        <w:t>We’re</w:t>
      </w:r>
      <w:proofErr w:type="gramEnd"/>
      <w:r w:rsidRPr="00506A10">
        <w:t xml:space="preserve"> taking each element or process in our service in turn and gathering data about who uses it, who starts a process but drops out, and who finishes the process. This is more difficult to do than we initially imagined. Getting access to the detailed data is very challenging and </w:t>
      </w:r>
      <w:proofErr w:type="gramStart"/>
      <w:r w:rsidRPr="00506A10">
        <w:t>we’re</w:t>
      </w:r>
      <w:proofErr w:type="gramEnd"/>
      <w:r w:rsidRPr="00506A10">
        <w:t xml:space="preserve"> only able to examine a small area at a time because we have to use things like appointment data, which need to be gathered manually, in order to understand the detail of what’s happening. </w:t>
      </w:r>
    </w:p>
    <w:p w14:paraId="2768E567" w14:textId="77777777" w:rsidR="00506A10" w:rsidRPr="00506A10" w:rsidRDefault="00506A10" w:rsidP="00506A10">
      <w:r w:rsidRPr="00506A10">
        <w:t xml:space="preserve">When we have understood what seems to be happening in a specific area of the </w:t>
      </w:r>
      <w:proofErr w:type="gramStart"/>
      <w:r w:rsidRPr="00506A10">
        <w:t>service</w:t>
      </w:r>
      <w:proofErr w:type="gramEnd"/>
      <w:r w:rsidRPr="00506A10">
        <w:t xml:space="preserve"> we’re devising action plans to address the issues we’ve identified and then monitoring their impact. </w:t>
      </w:r>
    </w:p>
    <w:p w14:paraId="64554B02" w14:textId="1273F885" w:rsidR="00506A10" w:rsidRPr="00506A10" w:rsidRDefault="00506A10" w:rsidP="00506A10">
      <w:r w:rsidRPr="00506A10">
        <w:t xml:space="preserve">The areas we have started work on so far are support for dyslexia &amp; </w:t>
      </w:r>
      <w:proofErr w:type="spellStart"/>
      <w:r w:rsidRPr="00506A10">
        <w:t>SpLDs</w:t>
      </w:r>
      <w:proofErr w:type="spellEnd"/>
      <w:r w:rsidRPr="00506A10">
        <w:t xml:space="preserve">, ADHD and ASD. </w:t>
      </w:r>
      <w:proofErr w:type="gramStart"/>
      <w:r w:rsidRPr="00506A10">
        <w:t>That’s</w:t>
      </w:r>
      <w:proofErr w:type="gramEnd"/>
      <w:r w:rsidRPr="00506A10">
        <w:t xml:space="preserve"> because these account for a large proportion of our disabled students so any positive changes we make will have a bigger impact. Additionally, we offer screening and diagnostic assessments for these learning differences and these all involve psychological assessment. The tests used in psychological assessment, such as ability tests, have a racist history which is bound up with colonialism. The power dynamics within these assessments are also potentially problematic from the point of view of colonialism. And </w:t>
      </w:r>
      <w:proofErr w:type="gramStart"/>
      <w:r w:rsidRPr="00506A10">
        <w:t>so</w:t>
      </w:r>
      <w:proofErr w:type="gramEnd"/>
      <w:r w:rsidRPr="00506A10">
        <w:t xml:space="preserve"> it makes sense to start looking at these areas of provision.</w:t>
      </w:r>
    </w:p>
    <w:p w14:paraId="1B62099F" w14:textId="77777777" w:rsidR="00506A10" w:rsidRPr="00506A10" w:rsidRDefault="00506A10" w:rsidP="00506A10">
      <w:proofErr w:type="gramStart"/>
      <w:r w:rsidRPr="00506A10">
        <w:t>We’re</w:t>
      </w:r>
      <w:proofErr w:type="gramEnd"/>
      <w:r w:rsidRPr="00506A10">
        <w:t xml:space="preserve"> also trying to engage with BAME students across the university to understand their experiences and perceptions of disability services. </w:t>
      </w:r>
      <w:proofErr w:type="gramStart"/>
      <w:r w:rsidRPr="00506A10">
        <w:t>We’re</w:t>
      </w:r>
      <w:proofErr w:type="gramEnd"/>
      <w:r w:rsidRPr="00506A10">
        <w:t xml:space="preserve"> helped enormously in doing this by the work with students that is happening as part of the wider decolonisation project at the university.</w:t>
      </w:r>
    </w:p>
    <w:p w14:paraId="26D45387" w14:textId="0611B8F9" w:rsidR="00506A10" w:rsidRDefault="00506A10" w:rsidP="00506A10">
      <w:proofErr w:type="gramStart"/>
      <w:r w:rsidRPr="00506A10">
        <w:lastRenderedPageBreak/>
        <w:t>It’s</w:t>
      </w:r>
      <w:proofErr w:type="gramEnd"/>
      <w:r w:rsidRPr="00506A10">
        <w:t xml:space="preserve"> early days, but we’ve already identified some areas that we need to address.</w:t>
      </w:r>
    </w:p>
    <w:p w14:paraId="70F1D3D6" w14:textId="47BD2090" w:rsidR="00506A10" w:rsidRDefault="00506A10" w:rsidP="00506A10">
      <w:pPr>
        <w:pStyle w:val="Heading2"/>
        <w:rPr>
          <w:b/>
          <w:bCs/>
        </w:rPr>
      </w:pPr>
      <w:r>
        <w:t xml:space="preserve">Slide 8: </w:t>
      </w:r>
      <w:r w:rsidRPr="00506A10">
        <w:t xml:space="preserve">Who does (and doesn’t) use our disability service? Access </w:t>
      </w:r>
      <w:r w:rsidRPr="00506A10">
        <w:rPr>
          <w:b/>
          <w:bCs/>
        </w:rPr>
        <w:t>of</w:t>
      </w:r>
      <w:r w:rsidRPr="00506A10">
        <w:t xml:space="preserve"> vs. access </w:t>
      </w:r>
      <w:r w:rsidRPr="00506A10">
        <w:rPr>
          <w:b/>
          <w:bCs/>
        </w:rPr>
        <w:t>to</w:t>
      </w:r>
    </w:p>
    <w:p w14:paraId="3D971ABD" w14:textId="68E9AA1C" w:rsidR="00506A10" w:rsidRDefault="00506A10" w:rsidP="00506A10"/>
    <w:p w14:paraId="4B66CF6B" w14:textId="77777777" w:rsidR="00506A10" w:rsidRPr="00506A10" w:rsidRDefault="00506A10" w:rsidP="00506A10">
      <w:pPr>
        <w:numPr>
          <w:ilvl w:val="0"/>
          <w:numId w:val="4"/>
        </w:numPr>
      </w:pPr>
      <w:r w:rsidRPr="00506A10">
        <w:t>54% of DMU students are BAME</w:t>
      </w:r>
    </w:p>
    <w:p w14:paraId="42300FB7" w14:textId="77777777" w:rsidR="00506A10" w:rsidRPr="00506A10" w:rsidRDefault="00506A10" w:rsidP="00506A10">
      <w:r w:rsidRPr="00506A10">
        <w:rPr>
          <w:b/>
          <w:bCs/>
        </w:rPr>
        <w:t>BUT</w:t>
      </w:r>
    </w:p>
    <w:p w14:paraId="48D7C323" w14:textId="77777777" w:rsidR="00506A10" w:rsidRPr="00506A10" w:rsidRDefault="00506A10" w:rsidP="00506A10">
      <w:pPr>
        <w:numPr>
          <w:ilvl w:val="0"/>
          <w:numId w:val="5"/>
        </w:numPr>
      </w:pPr>
      <w:r w:rsidRPr="00506A10">
        <w:t xml:space="preserve">Dyslexia diagnostic referrals: 48% BAME, 24% Male </w:t>
      </w:r>
    </w:p>
    <w:p w14:paraId="1865DF86" w14:textId="77777777" w:rsidR="00506A10" w:rsidRPr="00506A10" w:rsidRDefault="00506A10" w:rsidP="00506A10">
      <w:pPr>
        <w:numPr>
          <w:ilvl w:val="0"/>
          <w:numId w:val="5"/>
        </w:numPr>
      </w:pPr>
      <w:r w:rsidRPr="00506A10">
        <w:t>Autism &amp; ADHD diagnostic referrals: 19% BAME, 36% Male</w:t>
      </w:r>
    </w:p>
    <w:p w14:paraId="173CC7F0" w14:textId="77777777" w:rsidR="00506A10" w:rsidRPr="00506A10" w:rsidRDefault="00506A10" w:rsidP="00506A10">
      <w:pPr>
        <w:numPr>
          <w:ilvl w:val="0"/>
          <w:numId w:val="5"/>
        </w:numPr>
      </w:pPr>
      <w:r w:rsidRPr="00506A10">
        <w:t>Autism disclosures: 17% BAME, 61% Male</w:t>
      </w:r>
    </w:p>
    <w:p w14:paraId="1A1E119D" w14:textId="77777777" w:rsidR="00506A10" w:rsidRPr="00506A10" w:rsidRDefault="00506A10" w:rsidP="00506A10">
      <w:r w:rsidRPr="00506A10">
        <w:t>Recently our Vice Chancellor proudly announced to us that we have “No disability awarding gap” at DMU – but that headline figure conceals some significant issues. We do have a BAME awarding gap, and the picture we are building of who uses our disability services suggests some possible reasons how these 2 factors may be connected.</w:t>
      </w:r>
    </w:p>
    <w:p w14:paraId="3C94E3AD" w14:textId="77777777" w:rsidR="00506A10" w:rsidRPr="00506A10" w:rsidRDefault="00506A10" w:rsidP="00506A10">
      <w:r w:rsidRPr="00506A10">
        <w:t xml:space="preserve">Remembering that 54% of our students are from BAME groups, </w:t>
      </w:r>
      <w:proofErr w:type="gramStart"/>
      <w:r w:rsidRPr="00506A10">
        <w:t>it’s</w:t>
      </w:r>
      <w:proofErr w:type="gramEnd"/>
      <w:r w:rsidRPr="00506A10">
        <w:t xml:space="preserve"> notable that only 48% of the referrals we make for dyslexia assessment are for BAME students. This seems like a relatively small difference – only 6 percentage points – but it equates to a significant number of referrals. At DMU most of our students arrive with no formal dyslexia assessment in place and so we refer several hundred students every year for dyslexia assessments, in order that they can access DSA and get exams access arrangements. This discrepancy in referrals persists, despite our </w:t>
      </w:r>
      <w:proofErr w:type="gramStart"/>
      <w:r w:rsidRPr="00506A10">
        <w:t>long standing</w:t>
      </w:r>
      <w:proofErr w:type="gramEnd"/>
      <w:r w:rsidRPr="00506A10">
        <w:t xml:space="preserve"> policy of proactive dyslexia screening; we screen cohorts of students on specific courses, like Nursing, because we know there are likely to be many students with dyslexia studying that subject. When we factor gender into our </w:t>
      </w:r>
      <w:proofErr w:type="gramStart"/>
      <w:r w:rsidRPr="00506A10">
        <w:t>analysis</w:t>
      </w:r>
      <w:proofErr w:type="gramEnd"/>
      <w:r w:rsidRPr="00506A10">
        <w:t xml:space="preserve"> we also see that male students are much less likely to pursue a referral for dyslexia assessment than female students, regardless of ethnicity. </w:t>
      </w:r>
    </w:p>
    <w:p w14:paraId="13F0312C" w14:textId="77777777" w:rsidR="00506A10" w:rsidRPr="00506A10" w:rsidRDefault="00506A10" w:rsidP="00506A10">
      <w:r w:rsidRPr="00506A10">
        <w:t xml:space="preserve">But the picture around dyslexia looks pretty good when we consider referrals for ADHD and Autism assessment, which number around 200 referrals a year. We offer this service for the same reasons as we offer dyslexia screening and assessment. Just 19% of those referrals are for students from BAME groups. And there are more than double the referrals for ADHD assessment for BAME students than for Autism assessment. </w:t>
      </w:r>
    </w:p>
    <w:p w14:paraId="59DDCED7" w14:textId="77777777" w:rsidR="00506A10" w:rsidRPr="00506A10" w:rsidRDefault="00506A10" w:rsidP="00506A10">
      <w:r w:rsidRPr="00506A10">
        <w:t xml:space="preserve">And if we look at overall Autism disclosures, so not only the students who come to university without an assessment, then just 17% of them are from BAME students. </w:t>
      </w:r>
    </w:p>
    <w:p w14:paraId="2CEE7094" w14:textId="77777777" w:rsidR="00506A10" w:rsidRPr="00506A10" w:rsidRDefault="00506A10" w:rsidP="00506A10">
      <w:r w:rsidRPr="00506A10">
        <w:lastRenderedPageBreak/>
        <w:t>So BAME students are less likely to disclose a disability &amp; access support for a disability than we would expect; and this may have an impact on their success at university.</w:t>
      </w:r>
    </w:p>
    <w:p w14:paraId="07272581" w14:textId="77777777" w:rsidR="00506A10" w:rsidRPr="00506A10" w:rsidRDefault="00506A10" w:rsidP="00506A10">
      <w:r w:rsidRPr="00506A10">
        <w:t xml:space="preserve">Now nobody set out to design our services </w:t>
      </w:r>
      <w:proofErr w:type="gramStart"/>
      <w:r w:rsidRPr="00506A10">
        <w:t>in order to</w:t>
      </w:r>
      <w:proofErr w:type="gramEnd"/>
      <w:r w:rsidRPr="00506A10">
        <w:t xml:space="preserve"> put-off BAME students, or to be discriminatory, but nevertheless, we are not currently serving our whole student body equally. Whilst everyone has access to the service, access of the service is very unequal, as these data demonstrate.</w:t>
      </w:r>
    </w:p>
    <w:p w14:paraId="57EDF9C6" w14:textId="402901CB" w:rsidR="00506A10" w:rsidRPr="00506A10" w:rsidRDefault="00506A10" w:rsidP="00506A10">
      <w:r w:rsidRPr="00506A10">
        <w:t>And so</w:t>
      </w:r>
      <w:r w:rsidR="00C97D46">
        <w:t>,</w:t>
      </w:r>
      <w:r w:rsidRPr="00506A10">
        <w:t xml:space="preserve"> looking at this picture from the perspective of decolonisation, we </w:t>
      </w:r>
      <w:proofErr w:type="gramStart"/>
      <w:r w:rsidRPr="00506A10">
        <w:t>have to</w:t>
      </w:r>
      <w:proofErr w:type="gramEnd"/>
      <w:r w:rsidRPr="00506A10">
        <w:t xml:space="preserve"> examine “societal or institutional structures and the discrimination that exists”. The way that our disability services are currently constituted have contributed to this picture. Also contributing are likely to be the wider structures around health, </w:t>
      </w:r>
      <w:proofErr w:type="gramStart"/>
      <w:r w:rsidRPr="00506A10">
        <w:t>education</w:t>
      </w:r>
      <w:proofErr w:type="gramEnd"/>
      <w:r w:rsidRPr="00506A10">
        <w:t xml:space="preserve"> and the law, all of which are key to families’ experiences of obtaining support for their disabled children before coming to university, and which may influence a student’s willingness to disclose a disability to the university, when they arrive.</w:t>
      </w:r>
    </w:p>
    <w:p w14:paraId="4CBD1595" w14:textId="77777777" w:rsidR="00506A10" w:rsidRPr="00506A10" w:rsidRDefault="00506A10" w:rsidP="00506A10">
      <w:r w:rsidRPr="00506A10">
        <w:t>Gender also plays a role: Male students from almost all ethnic groups are less likely to disclose a disability &amp; access support for a disability than we would expect (overall – there are some specific reasons why males outnumber females in autism disclosures, we think).</w:t>
      </w:r>
    </w:p>
    <w:p w14:paraId="31A9A845" w14:textId="77777777" w:rsidR="00506A10" w:rsidRPr="00506A10" w:rsidRDefault="00506A10" w:rsidP="00506A10">
      <w:r w:rsidRPr="00506A10">
        <w:t xml:space="preserve">These differences in disclosure rates and access of support services are not unique to DMU. </w:t>
      </w:r>
      <w:proofErr w:type="gramStart"/>
      <w:r w:rsidRPr="00506A10">
        <w:t>I’m</w:t>
      </w:r>
      <w:proofErr w:type="gramEnd"/>
      <w:r w:rsidRPr="00506A10">
        <w:t xml:space="preserve"> sure that you would find similar patterns at your institutions even if, like us, you don’t yet have all the data available to support that analysis. But there is a wide range of academic literature internationally that looks at the impacts of gender, </w:t>
      </w:r>
      <w:proofErr w:type="gramStart"/>
      <w:r w:rsidRPr="00506A10">
        <w:t>ethnicity</w:t>
      </w:r>
      <w:proofErr w:type="gramEnd"/>
      <w:r w:rsidRPr="00506A10">
        <w:t xml:space="preserve"> and culture on people’s willingness to seek support for mental health conditions, physical health conditions, and so on. </w:t>
      </w:r>
    </w:p>
    <w:p w14:paraId="79218329" w14:textId="77777777" w:rsidR="00506A10" w:rsidRPr="00506A10" w:rsidRDefault="00506A10" w:rsidP="00506A10">
      <w:r w:rsidRPr="00506A10">
        <w:t>So, we can look at our services and try to understand, from our students, what are the barriers to accessing them. That helps.</w:t>
      </w:r>
    </w:p>
    <w:p w14:paraId="15B1ACF7" w14:textId="77777777" w:rsidR="00506A10" w:rsidRPr="00506A10" w:rsidRDefault="00506A10" w:rsidP="00506A10">
      <w:r w:rsidRPr="00506A10">
        <w:t xml:space="preserve">We can look at how we communicate with </w:t>
      </w:r>
      <w:proofErr w:type="gramStart"/>
      <w:r w:rsidRPr="00506A10">
        <w:t>students, and</w:t>
      </w:r>
      <w:proofErr w:type="gramEnd"/>
      <w:r w:rsidRPr="00506A10">
        <w:t xml:space="preserve"> address their concerns about issues like confidentiality. That helps.</w:t>
      </w:r>
    </w:p>
    <w:p w14:paraId="672FF220" w14:textId="57AEF356" w:rsidR="00506A10" w:rsidRDefault="00506A10" w:rsidP="00506A10">
      <w:r w:rsidRPr="00506A10">
        <w:t>But we also need to look at providing support for disabled students in a variety of ways – applying UDL principles to the provision of support as well as to the provision of teaching and learning.</w:t>
      </w:r>
    </w:p>
    <w:p w14:paraId="6DBA1DA1" w14:textId="2DAB8F9A" w:rsidR="00506A10" w:rsidRDefault="00506A10" w:rsidP="00506A10">
      <w:pPr>
        <w:pStyle w:val="Heading2"/>
      </w:pPr>
      <w:r>
        <w:t xml:space="preserve">Slide 9: </w:t>
      </w:r>
      <w:r w:rsidRPr="00506A10">
        <w:t>Why does this happen? “I felt like giving up”</w:t>
      </w:r>
    </w:p>
    <w:p w14:paraId="29B0DAF1" w14:textId="00CC1AC8" w:rsidR="004356B0" w:rsidRDefault="004356B0" w:rsidP="004356B0"/>
    <w:p w14:paraId="7EE25664" w14:textId="77777777" w:rsidR="004356B0" w:rsidRPr="004356B0" w:rsidRDefault="004356B0" w:rsidP="004356B0">
      <w:pPr>
        <w:numPr>
          <w:ilvl w:val="0"/>
          <w:numId w:val="6"/>
        </w:numPr>
      </w:pPr>
      <w:r w:rsidRPr="004356B0">
        <w:rPr>
          <w:lang w:val="en-US"/>
        </w:rPr>
        <w:t>Access to obtaining “evidence” of a disability prior to university?</w:t>
      </w:r>
    </w:p>
    <w:p w14:paraId="4C193C7A" w14:textId="77777777" w:rsidR="004356B0" w:rsidRPr="004356B0" w:rsidRDefault="004356B0" w:rsidP="004356B0">
      <w:pPr>
        <w:numPr>
          <w:ilvl w:val="0"/>
          <w:numId w:val="6"/>
        </w:numPr>
      </w:pPr>
      <w:r w:rsidRPr="004356B0">
        <w:rPr>
          <w:lang w:val="en-US"/>
        </w:rPr>
        <w:t>Prior experiences of medical, educational &amp; legal systems?</w:t>
      </w:r>
    </w:p>
    <w:p w14:paraId="7F3201C9" w14:textId="77777777" w:rsidR="004356B0" w:rsidRPr="004356B0" w:rsidRDefault="004356B0" w:rsidP="004356B0">
      <w:pPr>
        <w:numPr>
          <w:ilvl w:val="0"/>
          <w:numId w:val="6"/>
        </w:numPr>
      </w:pPr>
      <w:r w:rsidRPr="004356B0">
        <w:rPr>
          <w:lang w:val="en-US"/>
        </w:rPr>
        <w:lastRenderedPageBreak/>
        <w:t>Concerns about the implications of disclosure?</w:t>
      </w:r>
    </w:p>
    <w:p w14:paraId="3C7B8AAF" w14:textId="77777777" w:rsidR="004356B0" w:rsidRPr="004356B0" w:rsidRDefault="004356B0" w:rsidP="004356B0">
      <w:pPr>
        <w:numPr>
          <w:ilvl w:val="0"/>
          <w:numId w:val="6"/>
        </w:numPr>
      </w:pPr>
      <w:r w:rsidRPr="004356B0">
        <w:rPr>
          <w:lang w:val="en-US"/>
        </w:rPr>
        <w:t>Student views about disability support services?</w:t>
      </w:r>
    </w:p>
    <w:p w14:paraId="6A842F6B" w14:textId="77777777" w:rsidR="004356B0" w:rsidRPr="004356B0" w:rsidRDefault="004356B0" w:rsidP="004356B0">
      <w:r w:rsidRPr="004356B0">
        <w:rPr>
          <w:lang w:val="en-US"/>
        </w:rPr>
        <w:t xml:space="preserve">The system feels inaccessible, even if we </w:t>
      </w:r>
      <w:proofErr w:type="gramStart"/>
      <w:r w:rsidRPr="004356B0">
        <w:rPr>
          <w:lang w:val="en-US"/>
        </w:rPr>
        <w:t>can’t</w:t>
      </w:r>
      <w:proofErr w:type="gramEnd"/>
      <w:r w:rsidRPr="004356B0">
        <w:rPr>
          <w:lang w:val="en-US"/>
        </w:rPr>
        <w:t xml:space="preserve"> see that from inside it.</w:t>
      </w:r>
    </w:p>
    <w:p w14:paraId="33CC9AAC" w14:textId="77777777" w:rsidR="004356B0" w:rsidRPr="004356B0" w:rsidRDefault="004356B0" w:rsidP="004356B0">
      <w:r w:rsidRPr="004356B0">
        <w:rPr>
          <w:lang w:val="en-US"/>
        </w:rPr>
        <w:t xml:space="preserve">The quote at the top of this slide “I felt like giving up” comes from a student taking part in our decolonization project and refers to their feelings when going through the process of dyslexia screening, assessment and DSA application. Once they received their study skills tuition and </w:t>
      </w:r>
      <w:proofErr w:type="gramStart"/>
      <w:r w:rsidRPr="004356B0">
        <w:rPr>
          <w:lang w:val="en-US"/>
        </w:rPr>
        <w:t>AT</w:t>
      </w:r>
      <w:proofErr w:type="gramEnd"/>
      <w:r w:rsidRPr="004356B0">
        <w:rPr>
          <w:lang w:val="en-US"/>
        </w:rPr>
        <w:t xml:space="preserve"> they found it very helpful, but on the way they were tempted to just drop out of the process because it felt time consuming and difficult, and we know that many students do drop out of the process – they start to apply for DSA but don’t book a needs assessment, or they choose not to access any of the support provided. This student’s experience provides a small insight into the barriers for students accessing disability support and their impact on the students navigating this system.</w:t>
      </w:r>
    </w:p>
    <w:p w14:paraId="4B56757A" w14:textId="77777777" w:rsidR="004356B0" w:rsidRPr="004356B0" w:rsidRDefault="004356B0" w:rsidP="004356B0">
      <w:r w:rsidRPr="004356B0">
        <w:rPr>
          <w:lang w:val="en-US"/>
        </w:rPr>
        <w:t xml:space="preserve">NAS produced a </w:t>
      </w:r>
      <w:proofErr w:type="gramStart"/>
      <w:r w:rsidRPr="004356B0">
        <w:rPr>
          <w:lang w:val="en-US"/>
        </w:rPr>
        <w:t>really helpful</w:t>
      </w:r>
      <w:proofErr w:type="gramEnd"/>
      <w:r w:rsidRPr="004356B0">
        <w:rPr>
          <w:lang w:val="en-US"/>
        </w:rPr>
        <w:t xml:space="preserve"> report called “Diverse Perspectives” which looked at the experiences of families from BAME groups in seeking diagnosis and support for their autistic children. It provides some good insights into the many and varied barriers that families face in navigating health, </w:t>
      </w:r>
      <w:proofErr w:type="gramStart"/>
      <w:r w:rsidRPr="004356B0">
        <w:rPr>
          <w:lang w:val="en-US"/>
        </w:rPr>
        <w:t>education</w:t>
      </w:r>
      <w:proofErr w:type="gramEnd"/>
      <w:r w:rsidRPr="004356B0">
        <w:rPr>
          <w:lang w:val="en-US"/>
        </w:rPr>
        <w:t xml:space="preserve"> and local authority systems to access the support their children need. It also discusses how cultural and faith communities have an influence on families’ choices and actions. Reading the experiences of those families helps us to understand some of the reasons why students may arrive at university without “medical evidence” and why they may be reluctant to disclose a disability to the university.</w:t>
      </w:r>
    </w:p>
    <w:p w14:paraId="4EE59D9D" w14:textId="12075ACB" w:rsidR="004356B0" w:rsidRPr="004356B0" w:rsidRDefault="004356B0" w:rsidP="004356B0">
      <w:r w:rsidRPr="004356B0">
        <w:rPr>
          <w:lang w:val="en-US"/>
        </w:rPr>
        <w:t xml:space="preserve">But we </w:t>
      </w:r>
      <w:proofErr w:type="gramStart"/>
      <w:r w:rsidRPr="004356B0">
        <w:rPr>
          <w:lang w:val="en-US"/>
        </w:rPr>
        <w:t>don’t</w:t>
      </w:r>
      <w:proofErr w:type="gramEnd"/>
      <w:r w:rsidRPr="004356B0">
        <w:rPr>
          <w:lang w:val="en-US"/>
        </w:rPr>
        <w:t xml:space="preserve"> yet understand fully all of the factors that have an impact on students, and we are working with our students through </w:t>
      </w:r>
      <w:r w:rsidR="000C5E45">
        <w:rPr>
          <w:lang w:val="en-US"/>
        </w:rPr>
        <w:t xml:space="preserve">the </w:t>
      </w:r>
      <w:proofErr w:type="spellStart"/>
      <w:r w:rsidRPr="004356B0">
        <w:rPr>
          <w:lang w:val="en-US"/>
        </w:rPr>
        <w:t>D</w:t>
      </w:r>
      <w:r w:rsidR="000C5E45">
        <w:rPr>
          <w:lang w:val="en-US"/>
        </w:rPr>
        <w:t>ecolonising</w:t>
      </w:r>
      <w:proofErr w:type="spellEnd"/>
      <w:r w:rsidR="000C5E45">
        <w:rPr>
          <w:lang w:val="en-US"/>
        </w:rPr>
        <w:t xml:space="preserve"> </w:t>
      </w:r>
      <w:r w:rsidRPr="004356B0">
        <w:rPr>
          <w:lang w:val="en-US"/>
        </w:rPr>
        <w:t xml:space="preserve">DMU </w:t>
      </w:r>
      <w:r w:rsidR="000C5E45">
        <w:rPr>
          <w:lang w:val="en-US"/>
        </w:rPr>
        <w:t xml:space="preserve">project </w:t>
      </w:r>
      <w:r w:rsidRPr="004356B0">
        <w:rPr>
          <w:lang w:val="en-US"/>
        </w:rPr>
        <w:t>to understand more about their perspectives, to guide the development of our services.</w:t>
      </w:r>
    </w:p>
    <w:p w14:paraId="59DC7723" w14:textId="77777777" w:rsidR="004356B0" w:rsidRPr="004356B0" w:rsidRDefault="004356B0" w:rsidP="004356B0">
      <w:r w:rsidRPr="004356B0">
        <w:rPr>
          <w:lang w:val="en-US"/>
        </w:rPr>
        <w:t xml:space="preserve">I think, when we started looking at this issue, we sort felt that we </w:t>
      </w:r>
      <w:proofErr w:type="gramStart"/>
      <w:r w:rsidRPr="004356B0">
        <w:rPr>
          <w:lang w:val="en-US"/>
        </w:rPr>
        <w:t>weren’t</w:t>
      </w:r>
      <w:proofErr w:type="gramEnd"/>
      <w:r w:rsidRPr="004356B0">
        <w:rPr>
          <w:lang w:val="en-US"/>
        </w:rPr>
        <w:t xml:space="preserve"> likely to uncover anything too surprising, or any major barriers to students – but we wanted to make sure that there wasn’t any more we can do. But in </w:t>
      </w:r>
      <w:proofErr w:type="gramStart"/>
      <w:r w:rsidRPr="004356B0">
        <w:rPr>
          <w:lang w:val="en-US"/>
        </w:rPr>
        <w:t>actual fact</w:t>
      </w:r>
      <w:proofErr w:type="gramEnd"/>
      <w:r w:rsidRPr="004356B0">
        <w:rPr>
          <w:lang w:val="en-US"/>
        </w:rPr>
        <w:t xml:space="preserve"> this work is leading us to have some fairly fundamental conversations about the entire system we work within and are a part of, and the many people that the existing system doesn’t serve well. </w:t>
      </w:r>
    </w:p>
    <w:p w14:paraId="05101CAD" w14:textId="15F2C20C" w:rsidR="004356B0" w:rsidRDefault="004356B0" w:rsidP="004356B0">
      <w:pPr>
        <w:pStyle w:val="Heading2"/>
      </w:pPr>
      <w:r>
        <w:t xml:space="preserve">Slide 10: </w:t>
      </w:r>
      <w:r w:rsidRPr="004356B0">
        <w:t>What can we do about it?</w:t>
      </w:r>
    </w:p>
    <w:p w14:paraId="05BEB0B9" w14:textId="77777777" w:rsidR="004356B0" w:rsidRPr="004356B0" w:rsidRDefault="004356B0" w:rsidP="004356B0">
      <w:pPr>
        <w:numPr>
          <w:ilvl w:val="0"/>
          <w:numId w:val="7"/>
        </w:numPr>
      </w:pPr>
      <w:r w:rsidRPr="004356B0">
        <w:t xml:space="preserve">Acknowledge </w:t>
      </w:r>
      <w:proofErr w:type="gramStart"/>
      <w:r w:rsidRPr="004356B0">
        <w:t>there’s</w:t>
      </w:r>
      <w:proofErr w:type="gramEnd"/>
      <w:r w:rsidRPr="004356B0">
        <w:t xml:space="preserve"> an issue</w:t>
      </w:r>
    </w:p>
    <w:p w14:paraId="7F8E4BF8" w14:textId="77777777" w:rsidR="004356B0" w:rsidRPr="004356B0" w:rsidRDefault="004356B0" w:rsidP="004356B0">
      <w:pPr>
        <w:numPr>
          <w:ilvl w:val="0"/>
          <w:numId w:val="7"/>
        </w:numPr>
      </w:pPr>
      <w:r w:rsidRPr="004356B0">
        <w:t>Find out the specific situation in our institution</w:t>
      </w:r>
    </w:p>
    <w:p w14:paraId="11057417" w14:textId="77777777" w:rsidR="004356B0" w:rsidRPr="004356B0" w:rsidRDefault="004356B0" w:rsidP="004356B0">
      <w:pPr>
        <w:numPr>
          <w:ilvl w:val="0"/>
          <w:numId w:val="7"/>
        </w:numPr>
      </w:pPr>
      <w:r w:rsidRPr="004356B0">
        <w:lastRenderedPageBreak/>
        <w:t>Find out more about the experiences of BAME students</w:t>
      </w:r>
    </w:p>
    <w:p w14:paraId="194347BC" w14:textId="77777777" w:rsidR="004356B0" w:rsidRPr="004356B0" w:rsidRDefault="004356B0" w:rsidP="004356B0">
      <w:pPr>
        <w:numPr>
          <w:ilvl w:val="0"/>
          <w:numId w:val="7"/>
        </w:numPr>
      </w:pPr>
      <w:r w:rsidRPr="004356B0">
        <w:t>Be prepared to hear difficult things and have challenging conversations with ourselves</w:t>
      </w:r>
    </w:p>
    <w:p w14:paraId="4523C5AC" w14:textId="77777777" w:rsidR="004356B0" w:rsidRPr="004356B0" w:rsidRDefault="004356B0" w:rsidP="004356B0">
      <w:pPr>
        <w:numPr>
          <w:ilvl w:val="0"/>
          <w:numId w:val="7"/>
        </w:numPr>
      </w:pPr>
      <w:r w:rsidRPr="004356B0">
        <w:t>Make changes to our services where we need to</w:t>
      </w:r>
    </w:p>
    <w:p w14:paraId="0863312D" w14:textId="77777777" w:rsidR="004356B0" w:rsidRPr="004356B0" w:rsidRDefault="004356B0" w:rsidP="004356B0">
      <w:pPr>
        <w:numPr>
          <w:ilvl w:val="0"/>
          <w:numId w:val="7"/>
        </w:numPr>
      </w:pPr>
      <w:r w:rsidRPr="004356B0">
        <w:t>Consider offering our services in different ways</w:t>
      </w:r>
    </w:p>
    <w:p w14:paraId="3D2726B4" w14:textId="01D9D991" w:rsidR="002D5782" w:rsidRDefault="002D5782" w:rsidP="002D5782">
      <w:r>
        <w:t>F</w:t>
      </w:r>
      <w:r>
        <w:t xml:space="preserve">or students, the system at our university feels inaccessible even if, from working in the inside, we </w:t>
      </w:r>
      <w:proofErr w:type="gramStart"/>
      <w:r>
        <w:t>can't</w:t>
      </w:r>
      <w:proofErr w:type="gramEnd"/>
      <w:r>
        <w:t xml:space="preserve"> see that. So, what can we, as practitioners do about it? </w:t>
      </w:r>
    </w:p>
    <w:p w14:paraId="2204ABF2" w14:textId="77777777" w:rsidR="002D5782" w:rsidRDefault="002D5782" w:rsidP="002D5782">
      <w:r>
        <w:t xml:space="preserve">Well, the first thing to do, is to acknowledge </w:t>
      </w:r>
      <w:proofErr w:type="gramStart"/>
      <w:r>
        <w:t>there's</w:t>
      </w:r>
      <w:proofErr w:type="gramEnd"/>
      <w:r>
        <w:t xml:space="preserve"> an issue that needs to be addressed and, secondly, you need to find out the specific situation about your institution and that's actually hard to do. You need to find out more about the experiences of BAME students and be prepared to hear difficult things and have challenging conversations with one another and with students. </w:t>
      </w:r>
    </w:p>
    <w:p w14:paraId="1D0B0B85" w14:textId="2845339D" w:rsidR="004356B0" w:rsidRDefault="002D5782" w:rsidP="002D5782">
      <w:r>
        <w:t xml:space="preserve">And we need to make changes to our services where </w:t>
      </w:r>
      <w:proofErr w:type="gramStart"/>
      <w:r>
        <w:t>that's</w:t>
      </w:r>
      <w:proofErr w:type="gramEnd"/>
      <w:r>
        <w:t xml:space="preserve"> necessary and we need to consider offering our services to students in a number of different ways and that's where UDL really comes into its own.</w:t>
      </w:r>
    </w:p>
    <w:p w14:paraId="0376994E" w14:textId="4A102BA3" w:rsidR="004356B0" w:rsidRDefault="004356B0" w:rsidP="004356B0">
      <w:pPr>
        <w:pStyle w:val="Heading2"/>
      </w:pPr>
      <w:r>
        <w:t xml:space="preserve">Slide 11: </w:t>
      </w:r>
      <w:r w:rsidRPr="004356B0">
        <w:t>How does UDL fit in?</w:t>
      </w:r>
    </w:p>
    <w:p w14:paraId="39E54065" w14:textId="77777777" w:rsidR="004356B0" w:rsidRPr="004356B0" w:rsidRDefault="004356B0" w:rsidP="004356B0">
      <w:r w:rsidRPr="004356B0">
        <w:t xml:space="preserve">However much </w:t>
      </w:r>
      <w:proofErr w:type="gramStart"/>
      <w:r w:rsidRPr="004356B0">
        <w:t>we’d</w:t>
      </w:r>
      <w:proofErr w:type="gramEnd"/>
      <w:r w:rsidRPr="004356B0">
        <w:t xml:space="preserve"> like to think of ourselves as using a social model of disability, there are some areas where we simply don’t: We require students to provide evidence of their disability before we put exams arrangements in place and DSA applications require medical evidence.</w:t>
      </w:r>
    </w:p>
    <w:p w14:paraId="2AE447EC" w14:textId="65134159" w:rsidR="004356B0" w:rsidRPr="004356B0" w:rsidRDefault="004356B0" w:rsidP="004356B0">
      <w:r w:rsidRPr="004356B0">
        <w:t>So</w:t>
      </w:r>
      <w:r w:rsidR="000C5E45">
        <w:t>,</w:t>
      </w:r>
      <w:r w:rsidRPr="004356B0">
        <w:t xml:space="preserve"> the system of DSA support, exams arrangements etc. is predicated on the medical model of disability and requires students to evidence their disability before they can access fully our disability support services. But there are good (historical and current) reasons why students may come to university without that evidence, and why they may be reluctant to seek assessments that provide it, and why they may not want to assume a “disabled” label. All of these may be impacted by a student and their family’s experiences of racism and of dealing with racist systems and institutions, among other factors.</w:t>
      </w:r>
    </w:p>
    <w:p w14:paraId="12A7EB6C" w14:textId="77777777" w:rsidR="004356B0" w:rsidRPr="004356B0" w:rsidRDefault="004356B0" w:rsidP="004356B0">
      <w:proofErr w:type="gramStart"/>
      <w:r w:rsidRPr="004356B0">
        <w:t>UDL</w:t>
      </w:r>
      <w:proofErr w:type="gramEnd"/>
      <w:r w:rsidRPr="004356B0">
        <w:t xml:space="preserve"> is one means by which we can provide “invisible” support to students who don’t disclose a disability, who don’t have “evidence” of their disability, or who choose not to access individual support services, because we can offer alternative forms of assessment, resources like lecture recordings, and access to assistive technology through the library, without “medical evidence” or a formal disclosure of disability. So UDL offers us another potential way to support students of colour, and this </w:t>
      </w:r>
      <w:r w:rsidRPr="004356B0">
        <w:lastRenderedPageBreak/>
        <w:t>may be a more acceptable form of support than individualised support services, and their associated bureaucracy, for some.</w:t>
      </w:r>
    </w:p>
    <w:p w14:paraId="4EFF5B09" w14:textId="77777777" w:rsidR="004356B0" w:rsidRPr="004356B0" w:rsidRDefault="004356B0" w:rsidP="004356B0">
      <w:r w:rsidRPr="004356B0">
        <w:t>UDL principles being applied in student welfare services is also relevant here. Using CAST’s model of UDL we can:</w:t>
      </w:r>
    </w:p>
    <w:p w14:paraId="35544914" w14:textId="4AFBEFAD" w:rsidR="004356B0" w:rsidRPr="004356B0" w:rsidRDefault="004356B0" w:rsidP="004356B0">
      <w:proofErr w:type="spellStart"/>
      <w:r w:rsidRPr="004356B0">
        <w:rPr>
          <w:lang w:val="en-US"/>
        </w:rPr>
        <w:t>Optimi</w:t>
      </w:r>
      <w:r w:rsidR="002D5782">
        <w:rPr>
          <w:lang w:val="en-US"/>
        </w:rPr>
        <w:t>s</w:t>
      </w:r>
      <w:r w:rsidRPr="004356B0">
        <w:rPr>
          <w:lang w:val="en-US"/>
        </w:rPr>
        <w:t>e</w:t>
      </w:r>
      <w:proofErr w:type="spellEnd"/>
      <w:r w:rsidRPr="004356B0">
        <w:rPr>
          <w:lang w:val="en-US"/>
        </w:rPr>
        <w:t xml:space="preserve"> individual choice and autonomy – by providing disability support in multiple ways – not only in individual, F2F appointments</w:t>
      </w:r>
    </w:p>
    <w:p w14:paraId="7D8451D0" w14:textId="77777777" w:rsidR="004356B0" w:rsidRPr="004356B0" w:rsidRDefault="004356B0" w:rsidP="004356B0">
      <w:r w:rsidRPr="004356B0">
        <w:rPr>
          <w:lang w:val="en-US"/>
        </w:rPr>
        <w:t>Minimize threats and distractions – by making our services feel safe, for everyone to use</w:t>
      </w:r>
    </w:p>
    <w:p w14:paraId="584398B0" w14:textId="2B6E9297" w:rsidR="004356B0" w:rsidRPr="004356B0" w:rsidRDefault="004356B0" w:rsidP="004356B0">
      <w:r w:rsidRPr="004356B0">
        <w:rPr>
          <w:lang w:val="en-US"/>
        </w:rPr>
        <w:t>Promote personal coping skills and strategies – by offering an empowering, skills</w:t>
      </w:r>
      <w:r w:rsidR="009219A3">
        <w:rPr>
          <w:lang w:val="en-US"/>
        </w:rPr>
        <w:t>-</w:t>
      </w:r>
      <w:r w:rsidRPr="004356B0">
        <w:rPr>
          <w:lang w:val="en-US"/>
        </w:rPr>
        <w:t>focused approach to support</w:t>
      </w:r>
    </w:p>
    <w:p w14:paraId="34458928" w14:textId="5B2752F7" w:rsidR="004356B0" w:rsidRPr="004356B0" w:rsidRDefault="004356B0" w:rsidP="004356B0">
      <w:r w:rsidRPr="004356B0">
        <w:rPr>
          <w:lang w:val="en-US"/>
        </w:rPr>
        <w:t xml:space="preserve">Offer information in multiple modes, </w:t>
      </w:r>
      <w:proofErr w:type="gramStart"/>
      <w:r w:rsidRPr="004356B0">
        <w:rPr>
          <w:lang w:val="en-US"/>
        </w:rPr>
        <w:t>media</w:t>
      </w:r>
      <w:proofErr w:type="gramEnd"/>
      <w:r w:rsidRPr="004356B0">
        <w:rPr>
          <w:lang w:val="en-US"/>
        </w:rPr>
        <w:t xml:space="preserve"> and languages – not only formally, and through the university website</w:t>
      </w:r>
    </w:p>
    <w:p w14:paraId="6AAB889D" w14:textId="77777777" w:rsidR="004356B0" w:rsidRPr="004356B0" w:rsidRDefault="004356B0" w:rsidP="004356B0">
      <w:r w:rsidRPr="004356B0">
        <w:rPr>
          <w:lang w:val="en-US"/>
        </w:rPr>
        <w:t>Provide multiple ways for students to navigate and respond to information and communication about disability support – providing more options than simply appointments or emails</w:t>
      </w:r>
    </w:p>
    <w:p w14:paraId="51A4DB02" w14:textId="77777777" w:rsidR="004356B0" w:rsidRPr="004356B0" w:rsidRDefault="004356B0" w:rsidP="004356B0">
      <w:r w:rsidRPr="004356B0">
        <w:rPr>
          <w:lang w:val="en-US"/>
        </w:rPr>
        <w:t>Provide support for students to set goals and develop strategies that are empowering and enabling.</w:t>
      </w:r>
    </w:p>
    <w:p w14:paraId="3C72ABC0" w14:textId="77777777" w:rsidR="004356B0" w:rsidRPr="004356B0" w:rsidRDefault="004356B0" w:rsidP="004356B0">
      <w:r w:rsidRPr="004356B0">
        <w:rPr>
          <w:lang w:val="en-US"/>
        </w:rPr>
        <w:t xml:space="preserve">The example on this slide shows how UDL approaches offer a means to support a disabled student without requiring medical evidence or an ASC diagnosis. At DMU, </w:t>
      </w:r>
      <w:proofErr w:type="gramStart"/>
      <w:r w:rsidRPr="004356B0">
        <w:rPr>
          <w:lang w:val="en-US"/>
        </w:rPr>
        <w:t>you’ve</w:t>
      </w:r>
      <w:proofErr w:type="gramEnd"/>
      <w:r w:rsidRPr="004356B0">
        <w:rPr>
          <w:lang w:val="en-US"/>
        </w:rPr>
        <w:t xml:space="preserve"> seen our data – it’s mainly white, male students that have medical evidence for ASC, and so mainly white, male students who would have access to mentoring support at our university. The UDL approaches on the slide offer a different kind of support, but they can nevertheless provide support to any student, regardless of gender, </w:t>
      </w:r>
      <w:proofErr w:type="gramStart"/>
      <w:r w:rsidRPr="004356B0">
        <w:rPr>
          <w:lang w:val="en-US"/>
        </w:rPr>
        <w:t>ethnicity</w:t>
      </w:r>
      <w:proofErr w:type="gramEnd"/>
      <w:r w:rsidRPr="004356B0">
        <w:rPr>
          <w:lang w:val="en-US"/>
        </w:rPr>
        <w:t xml:space="preserve"> or disability status, in the skill of working in a group. For a student who </w:t>
      </w:r>
      <w:proofErr w:type="gramStart"/>
      <w:r w:rsidRPr="004356B0">
        <w:rPr>
          <w:lang w:val="en-US"/>
        </w:rPr>
        <w:t>doesn’t</w:t>
      </w:r>
      <w:proofErr w:type="gramEnd"/>
      <w:r w:rsidRPr="004356B0">
        <w:rPr>
          <w:lang w:val="en-US"/>
        </w:rPr>
        <w:t xml:space="preserve"> want to disclose their disability, who doesn’t want to have an ASC diagnosis, this is much better than no support at all. And the likely beneficiaries of these approaches are likely to be students of </w:t>
      </w:r>
      <w:proofErr w:type="spellStart"/>
      <w:r w:rsidRPr="004356B0">
        <w:rPr>
          <w:lang w:val="en-US"/>
        </w:rPr>
        <w:t>colour</w:t>
      </w:r>
      <w:proofErr w:type="spellEnd"/>
      <w:r w:rsidRPr="004356B0">
        <w:rPr>
          <w:lang w:val="en-US"/>
        </w:rPr>
        <w:t xml:space="preserve"> and female students, who, as </w:t>
      </w:r>
      <w:proofErr w:type="gramStart"/>
      <w:r w:rsidRPr="004356B0">
        <w:rPr>
          <w:lang w:val="en-US"/>
        </w:rPr>
        <w:t>we’ve</w:t>
      </w:r>
      <w:proofErr w:type="gramEnd"/>
      <w:r w:rsidRPr="004356B0">
        <w:rPr>
          <w:lang w:val="en-US"/>
        </w:rPr>
        <w:t xml:space="preserve"> seen, are less likely to disclose autism to us.</w:t>
      </w:r>
    </w:p>
    <w:p w14:paraId="1633BE4B" w14:textId="60D91799" w:rsidR="004356B0" w:rsidRPr="004356B0" w:rsidRDefault="004356B0" w:rsidP="004356B0">
      <w:r w:rsidRPr="004356B0">
        <w:t>So, we can make a very clear case to our institutions for a UDL approach</w:t>
      </w:r>
      <w:r w:rsidR="009219A3">
        <w:t>,</w:t>
      </w:r>
      <w:r w:rsidRPr="004356B0">
        <w:t xml:space="preserve"> not only on disability grounds, but also in terms of race equality – an area that most of our institutions are very concerned with currently. UDL has never just been about providing disability support, of course, but if we can provide evidence of its likely wider benefits, of the many groups of students that benefit from a UDL approach, it strengthens our case for adopting UDL within our institutions and makes the case powerfully to our academic colleagues.</w:t>
      </w:r>
    </w:p>
    <w:p w14:paraId="5A17F90B" w14:textId="77777777" w:rsidR="004356B0" w:rsidRPr="004356B0" w:rsidRDefault="004356B0" w:rsidP="004356B0">
      <w:r w:rsidRPr="004356B0">
        <w:lastRenderedPageBreak/>
        <w:t xml:space="preserve">As I said earlier, I don’t think that the inequalities in </w:t>
      </w:r>
      <w:proofErr w:type="gramStart"/>
      <w:r w:rsidRPr="004356B0">
        <w:t>access</w:t>
      </w:r>
      <w:proofErr w:type="gramEnd"/>
      <w:r w:rsidRPr="004356B0">
        <w:t xml:space="preserve"> of disability services that we’ve noted at DMU is an issue unique to us. </w:t>
      </w:r>
    </w:p>
    <w:p w14:paraId="64BA04DE" w14:textId="17683B11" w:rsidR="004356B0" w:rsidRPr="004356B0" w:rsidRDefault="004356B0" w:rsidP="004356B0">
      <w:r w:rsidRPr="004356B0">
        <w:t xml:space="preserve">And those inequalities have important consequences: whilst our VC is happy to report that we </w:t>
      </w:r>
      <w:proofErr w:type="gramStart"/>
      <w:r w:rsidRPr="004356B0">
        <w:t>don’t</w:t>
      </w:r>
      <w:proofErr w:type="gramEnd"/>
      <w:r w:rsidRPr="004356B0">
        <w:t xml:space="preserve"> have a disability awarding gap, we certainly do have a B</w:t>
      </w:r>
      <w:r w:rsidR="00BE5241">
        <w:t>A</w:t>
      </w:r>
      <w:r w:rsidRPr="004356B0">
        <w:t xml:space="preserve">ME awarding gap. </w:t>
      </w:r>
      <w:proofErr w:type="gramStart"/>
      <w:r w:rsidRPr="004356B0">
        <w:t>It’s</w:t>
      </w:r>
      <w:proofErr w:type="gramEnd"/>
      <w:r w:rsidRPr="004356B0">
        <w:t xml:space="preserve"> reducing, but one key question is the role that patterns of disability disclosure and access of disability services may play in the existence of that awarding gap. </w:t>
      </w:r>
      <w:proofErr w:type="gramStart"/>
      <w:r w:rsidRPr="004356B0">
        <w:t>UDL</w:t>
      </w:r>
      <w:proofErr w:type="gramEnd"/>
      <w:r w:rsidRPr="004356B0">
        <w:t xml:space="preserve"> is one means by which we can address those inequalities.</w:t>
      </w:r>
    </w:p>
    <w:p w14:paraId="6966E873" w14:textId="384C5100" w:rsidR="004356B0" w:rsidRDefault="004356B0" w:rsidP="004356B0">
      <w:pPr>
        <w:pStyle w:val="Heading2"/>
      </w:pPr>
      <w:r>
        <w:t>Slide 12: Conclusions</w:t>
      </w:r>
    </w:p>
    <w:p w14:paraId="3015B45F" w14:textId="30BE56E8" w:rsidR="004356B0" w:rsidRPr="004356B0" w:rsidRDefault="00BE5241" w:rsidP="004356B0">
      <w:hyperlink r:id="rId6" w:history="1">
        <w:r w:rsidR="004356B0" w:rsidRPr="004356B0">
          <w:rPr>
            <w:rStyle w:val="Hyperlink"/>
          </w:rPr>
          <w:t>www.dmu.ac.uk/decolonising</w:t>
        </w:r>
      </w:hyperlink>
      <w:r w:rsidR="004356B0">
        <w:t xml:space="preserve"> </w:t>
      </w:r>
    </w:p>
    <w:p w14:paraId="4BB57FAC" w14:textId="77777777" w:rsidR="004356B0" w:rsidRPr="004356B0" w:rsidRDefault="004356B0" w:rsidP="004356B0">
      <w:r w:rsidRPr="004356B0">
        <w:t>@DecolonisingDMU</w:t>
      </w:r>
    </w:p>
    <w:p w14:paraId="0CEFB730" w14:textId="77777777" w:rsidR="004356B0" w:rsidRPr="004356B0" w:rsidRDefault="004356B0" w:rsidP="004356B0">
      <w:r w:rsidRPr="004356B0">
        <w:t>#DecolonisingDMU</w:t>
      </w:r>
    </w:p>
    <w:p w14:paraId="62CC3A53" w14:textId="626B65FD" w:rsidR="004356B0" w:rsidRDefault="00BE5241" w:rsidP="004356B0">
      <w:hyperlink r:id="rId7" w:history="1">
        <w:r w:rsidR="004356B0" w:rsidRPr="00B566E1">
          <w:rPr>
            <w:rStyle w:val="Hyperlink"/>
          </w:rPr>
          <w:t>rachel.davies@dmu.ac.uk</w:t>
        </w:r>
      </w:hyperlink>
      <w:r w:rsidR="004356B0">
        <w:t xml:space="preserve"> </w:t>
      </w:r>
    </w:p>
    <w:p w14:paraId="0C005429" w14:textId="77777777" w:rsidR="004356B0" w:rsidRPr="004356B0" w:rsidRDefault="004356B0" w:rsidP="004356B0">
      <w:r w:rsidRPr="004356B0">
        <w:t xml:space="preserve">Thanks for watching. I hope we can continue this conversation elsewhere at the conference. </w:t>
      </w:r>
      <w:proofErr w:type="gramStart"/>
      <w:r w:rsidRPr="004356B0">
        <w:t>I’d</w:t>
      </w:r>
      <w:proofErr w:type="gramEnd"/>
      <w:r w:rsidRPr="004356B0">
        <w:t xml:space="preserve"> be really interested to hear from colleagues in other institutions who are interested in these issues and my contact details are on this slide if you’d like to get in touch.</w:t>
      </w:r>
    </w:p>
    <w:p w14:paraId="42B6C05E" w14:textId="77777777" w:rsidR="004356B0" w:rsidRPr="004356B0" w:rsidRDefault="004356B0" w:rsidP="004356B0"/>
    <w:sectPr w:rsidR="004356B0" w:rsidRPr="004356B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E142E5"/>
    <w:multiLevelType w:val="hybridMultilevel"/>
    <w:tmpl w:val="1352B914"/>
    <w:lvl w:ilvl="0" w:tplc="E0769092">
      <w:start w:val="1"/>
      <w:numFmt w:val="decimal"/>
      <w:lvlText w:val="%1."/>
      <w:lvlJc w:val="left"/>
      <w:pPr>
        <w:tabs>
          <w:tab w:val="num" w:pos="720"/>
        </w:tabs>
        <w:ind w:left="720" w:hanging="360"/>
      </w:pPr>
    </w:lvl>
    <w:lvl w:ilvl="1" w:tplc="AB902BF2" w:tentative="1">
      <w:start w:val="1"/>
      <w:numFmt w:val="decimal"/>
      <w:lvlText w:val="%2."/>
      <w:lvlJc w:val="left"/>
      <w:pPr>
        <w:tabs>
          <w:tab w:val="num" w:pos="1440"/>
        </w:tabs>
        <w:ind w:left="1440" w:hanging="360"/>
      </w:pPr>
    </w:lvl>
    <w:lvl w:ilvl="2" w:tplc="46FC849E" w:tentative="1">
      <w:start w:val="1"/>
      <w:numFmt w:val="decimal"/>
      <w:lvlText w:val="%3."/>
      <w:lvlJc w:val="left"/>
      <w:pPr>
        <w:tabs>
          <w:tab w:val="num" w:pos="2160"/>
        </w:tabs>
        <w:ind w:left="2160" w:hanging="360"/>
      </w:pPr>
    </w:lvl>
    <w:lvl w:ilvl="3" w:tplc="0D90AC26" w:tentative="1">
      <w:start w:val="1"/>
      <w:numFmt w:val="decimal"/>
      <w:lvlText w:val="%4."/>
      <w:lvlJc w:val="left"/>
      <w:pPr>
        <w:tabs>
          <w:tab w:val="num" w:pos="2880"/>
        </w:tabs>
        <w:ind w:left="2880" w:hanging="360"/>
      </w:pPr>
    </w:lvl>
    <w:lvl w:ilvl="4" w:tplc="B52274CA" w:tentative="1">
      <w:start w:val="1"/>
      <w:numFmt w:val="decimal"/>
      <w:lvlText w:val="%5."/>
      <w:lvlJc w:val="left"/>
      <w:pPr>
        <w:tabs>
          <w:tab w:val="num" w:pos="3600"/>
        </w:tabs>
        <w:ind w:left="3600" w:hanging="360"/>
      </w:pPr>
    </w:lvl>
    <w:lvl w:ilvl="5" w:tplc="F876649C" w:tentative="1">
      <w:start w:val="1"/>
      <w:numFmt w:val="decimal"/>
      <w:lvlText w:val="%6."/>
      <w:lvlJc w:val="left"/>
      <w:pPr>
        <w:tabs>
          <w:tab w:val="num" w:pos="4320"/>
        </w:tabs>
        <w:ind w:left="4320" w:hanging="360"/>
      </w:pPr>
    </w:lvl>
    <w:lvl w:ilvl="6" w:tplc="1E3A08BE" w:tentative="1">
      <w:start w:val="1"/>
      <w:numFmt w:val="decimal"/>
      <w:lvlText w:val="%7."/>
      <w:lvlJc w:val="left"/>
      <w:pPr>
        <w:tabs>
          <w:tab w:val="num" w:pos="5040"/>
        </w:tabs>
        <w:ind w:left="5040" w:hanging="360"/>
      </w:pPr>
    </w:lvl>
    <w:lvl w:ilvl="7" w:tplc="B352F176" w:tentative="1">
      <w:start w:val="1"/>
      <w:numFmt w:val="decimal"/>
      <w:lvlText w:val="%8."/>
      <w:lvlJc w:val="left"/>
      <w:pPr>
        <w:tabs>
          <w:tab w:val="num" w:pos="5760"/>
        </w:tabs>
        <w:ind w:left="5760" w:hanging="360"/>
      </w:pPr>
    </w:lvl>
    <w:lvl w:ilvl="8" w:tplc="D968E2C4" w:tentative="1">
      <w:start w:val="1"/>
      <w:numFmt w:val="decimal"/>
      <w:lvlText w:val="%9."/>
      <w:lvlJc w:val="left"/>
      <w:pPr>
        <w:tabs>
          <w:tab w:val="num" w:pos="6480"/>
        </w:tabs>
        <w:ind w:left="6480" w:hanging="360"/>
      </w:pPr>
    </w:lvl>
  </w:abstractNum>
  <w:abstractNum w:abstractNumId="1" w15:restartNumberingAfterBreak="0">
    <w:nsid w:val="1F5E080F"/>
    <w:multiLevelType w:val="hybridMultilevel"/>
    <w:tmpl w:val="9796DBE8"/>
    <w:lvl w:ilvl="0" w:tplc="175EBA66">
      <w:start w:val="1"/>
      <w:numFmt w:val="bullet"/>
      <w:lvlText w:val="•"/>
      <w:lvlJc w:val="left"/>
      <w:pPr>
        <w:tabs>
          <w:tab w:val="num" w:pos="720"/>
        </w:tabs>
        <w:ind w:left="720" w:hanging="360"/>
      </w:pPr>
      <w:rPr>
        <w:rFonts w:ascii="Arial" w:hAnsi="Arial" w:hint="default"/>
      </w:rPr>
    </w:lvl>
    <w:lvl w:ilvl="1" w:tplc="4FEC8328" w:tentative="1">
      <w:start w:val="1"/>
      <w:numFmt w:val="bullet"/>
      <w:lvlText w:val="•"/>
      <w:lvlJc w:val="left"/>
      <w:pPr>
        <w:tabs>
          <w:tab w:val="num" w:pos="1440"/>
        </w:tabs>
        <w:ind w:left="1440" w:hanging="360"/>
      </w:pPr>
      <w:rPr>
        <w:rFonts w:ascii="Arial" w:hAnsi="Arial" w:hint="default"/>
      </w:rPr>
    </w:lvl>
    <w:lvl w:ilvl="2" w:tplc="2A569A72" w:tentative="1">
      <w:start w:val="1"/>
      <w:numFmt w:val="bullet"/>
      <w:lvlText w:val="•"/>
      <w:lvlJc w:val="left"/>
      <w:pPr>
        <w:tabs>
          <w:tab w:val="num" w:pos="2160"/>
        </w:tabs>
        <w:ind w:left="2160" w:hanging="360"/>
      </w:pPr>
      <w:rPr>
        <w:rFonts w:ascii="Arial" w:hAnsi="Arial" w:hint="default"/>
      </w:rPr>
    </w:lvl>
    <w:lvl w:ilvl="3" w:tplc="8E4C9D84" w:tentative="1">
      <w:start w:val="1"/>
      <w:numFmt w:val="bullet"/>
      <w:lvlText w:val="•"/>
      <w:lvlJc w:val="left"/>
      <w:pPr>
        <w:tabs>
          <w:tab w:val="num" w:pos="2880"/>
        </w:tabs>
        <w:ind w:left="2880" w:hanging="360"/>
      </w:pPr>
      <w:rPr>
        <w:rFonts w:ascii="Arial" w:hAnsi="Arial" w:hint="default"/>
      </w:rPr>
    </w:lvl>
    <w:lvl w:ilvl="4" w:tplc="784A5454" w:tentative="1">
      <w:start w:val="1"/>
      <w:numFmt w:val="bullet"/>
      <w:lvlText w:val="•"/>
      <w:lvlJc w:val="left"/>
      <w:pPr>
        <w:tabs>
          <w:tab w:val="num" w:pos="3600"/>
        </w:tabs>
        <w:ind w:left="3600" w:hanging="360"/>
      </w:pPr>
      <w:rPr>
        <w:rFonts w:ascii="Arial" w:hAnsi="Arial" w:hint="default"/>
      </w:rPr>
    </w:lvl>
    <w:lvl w:ilvl="5" w:tplc="6FD6E97E" w:tentative="1">
      <w:start w:val="1"/>
      <w:numFmt w:val="bullet"/>
      <w:lvlText w:val="•"/>
      <w:lvlJc w:val="left"/>
      <w:pPr>
        <w:tabs>
          <w:tab w:val="num" w:pos="4320"/>
        </w:tabs>
        <w:ind w:left="4320" w:hanging="360"/>
      </w:pPr>
      <w:rPr>
        <w:rFonts w:ascii="Arial" w:hAnsi="Arial" w:hint="default"/>
      </w:rPr>
    </w:lvl>
    <w:lvl w:ilvl="6" w:tplc="279CDDEA" w:tentative="1">
      <w:start w:val="1"/>
      <w:numFmt w:val="bullet"/>
      <w:lvlText w:val="•"/>
      <w:lvlJc w:val="left"/>
      <w:pPr>
        <w:tabs>
          <w:tab w:val="num" w:pos="5040"/>
        </w:tabs>
        <w:ind w:left="5040" w:hanging="360"/>
      </w:pPr>
      <w:rPr>
        <w:rFonts w:ascii="Arial" w:hAnsi="Arial" w:hint="default"/>
      </w:rPr>
    </w:lvl>
    <w:lvl w:ilvl="7" w:tplc="1AB637D8" w:tentative="1">
      <w:start w:val="1"/>
      <w:numFmt w:val="bullet"/>
      <w:lvlText w:val="•"/>
      <w:lvlJc w:val="left"/>
      <w:pPr>
        <w:tabs>
          <w:tab w:val="num" w:pos="5760"/>
        </w:tabs>
        <w:ind w:left="5760" w:hanging="360"/>
      </w:pPr>
      <w:rPr>
        <w:rFonts w:ascii="Arial" w:hAnsi="Arial" w:hint="default"/>
      </w:rPr>
    </w:lvl>
    <w:lvl w:ilvl="8" w:tplc="EB90B0B2"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238F4CE7"/>
    <w:multiLevelType w:val="hybridMultilevel"/>
    <w:tmpl w:val="EB908D10"/>
    <w:lvl w:ilvl="0" w:tplc="359E3714">
      <w:start w:val="1"/>
      <w:numFmt w:val="bullet"/>
      <w:lvlText w:val="•"/>
      <w:lvlJc w:val="left"/>
      <w:pPr>
        <w:tabs>
          <w:tab w:val="num" w:pos="720"/>
        </w:tabs>
        <w:ind w:left="720" w:hanging="360"/>
      </w:pPr>
      <w:rPr>
        <w:rFonts w:ascii="Arial" w:hAnsi="Arial" w:hint="default"/>
      </w:rPr>
    </w:lvl>
    <w:lvl w:ilvl="1" w:tplc="6FA487E4" w:tentative="1">
      <w:start w:val="1"/>
      <w:numFmt w:val="bullet"/>
      <w:lvlText w:val="•"/>
      <w:lvlJc w:val="left"/>
      <w:pPr>
        <w:tabs>
          <w:tab w:val="num" w:pos="1440"/>
        </w:tabs>
        <w:ind w:left="1440" w:hanging="360"/>
      </w:pPr>
      <w:rPr>
        <w:rFonts w:ascii="Arial" w:hAnsi="Arial" w:hint="default"/>
      </w:rPr>
    </w:lvl>
    <w:lvl w:ilvl="2" w:tplc="C1766054" w:tentative="1">
      <w:start w:val="1"/>
      <w:numFmt w:val="bullet"/>
      <w:lvlText w:val="•"/>
      <w:lvlJc w:val="left"/>
      <w:pPr>
        <w:tabs>
          <w:tab w:val="num" w:pos="2160"/>
        </w:tabs>
        <w:ind w:left="2160" w:hanging="360"/>
      </w:pPr>
      <w:rPr>
        <w:rFonts w:ascii="Arial" w:hAnsi="Arial" w:hint="default"/>
      </w:rPr>
    </w:lvl>
    <w:lvl w:ilvl="3" w:tplc="E97AAD4C" w:tentative="1">
      <w:start w:val="1"/>
      <w:numFmt w:val="bullet"/>
      <w:lvlText w:val="•"/>
      <w:lvlJc w:val="left"/>
      <w:pPr>
        <w:tabs>
          <w:tab w:val="num" w:pos="2880"/>
        </w:tabs>
        <w:ind w:left="2880" w:hanging="360"/>
      </w:pPr>
      <w:rPr>
        <w:rFonts w:ascii="Arial" w:hAnsi="Arial" w:hint="default"/>
      </w:rPr>
    </w:lvl>
    <w:lvl w:ilvl="4" w:tplc="D332A44C" w:tentative="1">
      <w:start w:val="1"/>
      <w:numFmt w:val="bullet"/>
      <w:lvlText w:val="•"/>
      <w:lvlJc w:val="left"/>
      <w:pPr>
        <w:tabs>
          <w:tab w:val="num" w:pos="3600"/>
        </w:tabs>
        <w:ind w:left="3600" w:hanging="360"/>
      </w:pPr>
      <w:rPr>
        <w:rFonts w:ascii="Arial" w:hAnsi="Arial" w:hint="default"/>
      </w:rPr>
    </w:lvl>
    <w:lvl w:ilvl="5" w:tplc="74E2876A" w:tentative="1">
      <w:start w:val="1"/>
      <w:numFmt w:val="bullet"/>
      <w:lvlText w:val="•"/>
      <w:lvlJc w:val="left"/>
      <w:pPr>
        <w:tabs>
          <w:tab w:val="num" w:pos="4320"/>
        </w:tabs>
        <w:ind w:left="4320" w:hanging="360"/>
      </w:pPr>
      <w:rPr>
        <w:rFonts w:ascii="Arial" w:hAnsi="Arial" w:hint="default"/>
      </w:rPr>
    </w:lvl>
    <w:lvl w:ilvl="6" w:tplc="5E30CB2E" w:tentative="1">
      <w:start w:val="1"/>
      <w:numFmt w:val="bullet"/>
      <w:lvlText w:val="•"/>
      <w:lvlJc w:val="left"/>
      <w:pPr>
        <w:tabs>
          <w:tab w:val="num" w:pos="5040"/>
        </w:tabs>
        <w:ind w:left="5040" w:hanging="360"/>
      </w:pPr>
      <w:rPr>
        <w:rFonts w:ascii="Arial" w:hAnsi="Arial" w:hint="default"/>
      </w:rPr>
    </w:lvl>
    <w:lvl w:ilvl="7" w:tplc="36E4286E" w:tentative="1">
      <w:start w:val="1"/>
      <w:numFmt w:val="bullet"/>
      <w:lvlText w:val="•"/>
      <w:lvlJc w:val="left"/>
      <w:pPr>
        <w:tabs>
          <w:tab w:val="num" w:pos="5760"/>
        </w:tabs>
        <w:ind w:left="5760" w:hanging="360"/>
      </w:pPr>
      <w:rPr>
        <w:rFonts w:ascii="Arial" w:hAnsi="Arial" w:hint="default"/>
      </w:rPr>
    </w:lvl>
    <w:lvl w:ilvl="8" w:tplc="5A5C1346"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43A7253B"/>
    <w:multiLevelType w:val="hybridMultilevel"/>
    <w:tmpl w:val="E79AB48C"/>
    <w:lvl w:ilvl="0" w:tplc="FF609A00">
      <w:start w:val="1"/>
      <w:numFmt w:val="bullet"/>
      <w:lvlText w:val="•"/>
      <w:lvlJc w:val="left"/>
      <w:pPr>
        <w:tabs>
          <w:tab w:val="num" w:pos="720"/>
        </w:tabs>
        <w:ind w:left="720" w:hanging="360"/>
      </w:pPr>
      <w:rPr>
        <w:rFonts w:ascii="Arial" w:hAnsi="Arial" w:hint="default"/>
      </w:rPr>
    </w:lvl>
    <w:lvl w:ilvl="1" w:tplc="9886D790" w:tentative="1">
      <w:start w:val="1"/>
      <w:numFmt w:val="bullet"/>
      <w:lvlText w:val="•"/>
      <w:lvlJc w:val="left"/>
      <w:pPr>
        <w:tabs>
          <w:tab w:val="num" w:pos="1440"/>
        </w:tabs>
        <w:ind w:left="1440" w:hanging="360"/>
      </w:pPr>
      <w:rPr>
        <w:rFonts w:ascii="Arial" w:hAnsi="Arial" w:hint="default"/>
      </w:rPr>
    </w:lvl>
    <w:lvl w:ilvl="2" w:tplc="3C56FAEA" w:tentative="1">
      <w:start w:val="1"/>
      <w:numFmt w:val="bullet"/>
      <w:lvlText w:val="•"/>
      <w:lvlJc w:val="left"/>
      <w:pPr>
        <w:tabs>
          <w:tab w:val="num" w:pos="2160"/>
        </w:tabs>
        <w:ind w:left="2160" w:hanging="360"/>
      </w:pPr>
      <w:rPr>
        <w:rFonts w:ascii="Arial" w:hAnsi="Arial" w:hint="default"/>
      </w:rPr>
    </w:lvl>
    <w:lvl w:ilvl="3" w:tplc="AF003D8C" w:tentative="1">
      <w:start w:val="1"/>
      <w:numFmt w:val="bullet"/>
      <w:lvlText w:val="•"/>
      <w:lvlJc w:val="left"/>
      <w:pPr>
        <w:tabs>
          <w:tab w:val="num" w:pos="2880"/>
        </w:tabs>
        <w:ind w:left="2880" w:hanging="360"/>
      </w:pPr>
      <w:rPr>
        <w:rFonts w:ascii="Arial" w:hAnsi="Arial" w:hint="default"/>
      </w:rPr>
    </w:lvl>
    <w:lvl w:ilvl="4" w:tplc="7A582552" w:tentative="1">
      <w:start w:val="1"/>
      <w:numFmt w:val="bullet"/>
      <w:lvlText w:val="•"/>
      <w:lvlJc w:val="left"/>
      <w:pPr>
        <w:tabs>
          <w:tab w:val="num" w:pos="3600"/>
        </w:tabs>
        <w:ind w:left="3600" w:hanging="360"/>
      </w:pPr>
      <w:rPr>
        <w:rFonts w:ascii="Arial" w:hAnsi="Arial" w:hint="default"/>
      </w:rPr>
    </w:lvl>
    <w:lvl w:ilvl="5" w:tplc="3FE0E55A" w:tentative="1">
      <w:start w:val="1"/>
      <w:numFmt w:val="bullet"/>
      <w:lvlText w:val="•"/>
      <w:lvlJc w:val="left"/>
      <w:pPr>
        <w:tabs>
          <w:tab w:val="num" w:pos="4320"/>
        </w:tabs>
        <w:ind w:left="4320" w:hanging="360"/>
      </w:pPr>
      <w:rPr>
        <w:rFonts w:ascii="Arial" w:hAnsi="Arial" w:hint="default"/>
      </w:rPr>
    </w:lvl>
    <w:lvl w:ilvl="6" w:tplc="4B6AB238" w:tentative="1">
      <w:start w:val="1"/>
      <w:numFmt w:val="bullet"/>
      <w:lvlText w:val="•"/>
      <w:lvlJc w:val="left"/>
      <w:pPr>
        <w:tabs>
          <w:tab w:val="num" w:pos="5040"/>
        </w:tabs>
        <w:ind w:left="5040" w:hanging="360"/>
      </w:pPr>
      <w:rPr>
        <w:rFonts w:ascii="Arial" w:hAnsi="Arial" w:hint="default"/>
      </w:rPr>
    </w:lvl>
    <w:lvl w:ilvl="7" w:tplc="AA08634E" w:tentative="1">
      <w:start w:val="1"/>
      <w:numFmt w:val="bullet"/>
      <w:lvlText w:val="•"/>
      <w:lvlJc w:val="left"/>
      <w:pPr>
        <w:tabs>
          <w:tab w:val="num" w:pos="5760"/>
        </w:tabs>
        <w:ind w:left="5760" w:hanging="360"/>
      </w:pPr>
      <w:rPr>
        <w:rFonts w:ascii="Arial" w:hAnsi="Arial" w:hint="default"/>
      </w:rPr>
    </w:lvl>
    <w:lvl w:ilvl="8" w:tplc="45542A9A"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59351EF3"/>
    <w:multiLevelType w:val="hybridMultilevel"/>
    <w:tmpl w:val="32F67F00"/>
    <w:lvl w:ilvl="0" w:tplc="C2E207C2">
      <w:start w:val="1"/>
      <w:numFmt w:val="bullet"/>
      <w:lvlText w:val="•"/>
      <w:lvlJc w:val="left"/>
      <w:pPr>
        <w:tabs>
          <w:tab w:val="num" w:pos="720"/>
        </w:tabs>
        <w:ind w:left="720" w:hanging="360"/>
      </w:pPr>
      <w:rPr>
        <w:rFonts w:ascii="Arial" w:hAnsi="Arial" w:hint="default"/>
      </w:rPr>
    </w:lvl>
    <w:lvl w:ilvl="1" w:tplc="FBFCAA80" w:tentative="1">
      <w:start w:val="1"/>
      <w:numFmt w:val="bullet"/>
      <w:lvlText w:val="•"/>
      <w:lvlJc w:val="left"/>
      <w:pPr>
        <w:tabs>
          <w:tab w:val="num" w:pos="1440"/>
        </w:tabs>
        <w:ind w:left="1440" w:hanging="360"/>
      </w:pPr>
      <w:rPr>
        <w:rFonts w:ascii="Arial" w:hAnsi="Arial" w:hint="default"/>
      </w:rPr>
    </w:lvl>
    <w:lvl w:ilvl="2" w:tplc="841CBB82" w:tentative="1">
      <w:start w:val="1"/>
      <w:numFmt w:val="bullet"/>
      <w:lvlText w:val="•"/>
      <w:lvlJc w:val="left"/>
      <w:pPr>
        <w:tabs>
          <w:tab w:val="num" w:pos="2160"/>
        </w:tabs>
        <w:ind w:left="2160" w:hanging="360"/>
      </w:pPr>
      <w:rPr>
        <w:rFonts w:ascii="Arial" w:hAnsi="Arial" w:hint="default"/>
      </w:rPr>
    </w:lvl>
    <w:lvl w:ilvl="3" w:tplc="EF88E330" w:tentative="1">
      <w:start w:val="1"/>
      <w:numFmt w:val="bullet"/>
      <w:lvlText w:val="•"/>
      <w:lvlJc w:val="left"/>
      <w:pPr>
        <w:tabs>
          <w:tab w:val="num" w:pos="2880"/>
        </w:tabs>
        <w:ind w:left="2880" w:hanging="360"/>
      </w:pPr>
      <w:rPr>
        <w:rFonts w:ascii="Arial" w:hAnsi="Arial" w:hint="default"/>
      </w:rPr>
    </w:lvl>
    <w:lvl w:ilvl="4" w:tplc="52307964" w:tentative="1">
      <w:start w:val="1"/>
      <w:numFmt w:val="bullet"/>
      <w:lvlText w:val="•"/>
      <w:lvlJc w:val="left"/>
      <w:pPr>
        <w:tabs>
          <w:tab w:val="num" w:pos="3600"/>
        </w:tabs>
        <w:ind w:left="3600" w:hanging="360"/>
      </w:pPr>
      <w:rPr>
        <w:rFonts w:ascii="Arial" w:hAnsi="Arial" w:hint="default"/>
      </w:rPr>
    </w:lvl>
    <w:lvl w:ilvl="5" w:tplc="548CE470" w:tentative="1">
      <w:start w:val="1"/>
      <w:numFmt w:val="bullet"/>
      <w:lvlText w:val="•"/>
      <w:lvlJc w:val="left"/>
      <w:pPr>
        <w:tabs>
          <w:tab w:val="num" w:pos="4320"/>
        </w:tabs>
        <w:ind w:left="4320" w:hanging="360"/>
      </w:pPr>
      <w:rPr>
        <w:rFonts w:ascii="Arial" w:hAnsi="Arial" w:hint="default"/>
      </w:rPr>
    </w:lvl>
    <w:lvl w:ilvl="6" w:tplc="49745C24" w:tentative="1">
      <w:start w:val="1"/>
      <w:numFmt w:val="bullet"/>
      <w:lvlText w:val="•"/>
      <w:lvlJc w:val="left"/>
      <w:pPr>
        <w:tabs>
          <w:tab w:val="num" w:pos="5040"/>
        </w:tabs>
        <w:ind w:left="5040" w:hanging="360"/>
      </w:pPr>
      <w:rPr>
        <w:rFonts w:ascii="Arial" w:hAnsi="Arial" w:hint="default"/>
      </w:rPr>
    </w:lvl>
    <w:lvl w:ilvl="7" w:tplc="282C736A" w:tentative="1">
      <w:start w:val="1"/>
      <w:numFmt w:val="bullet"/>
      <w:lvlText w:val="•"/>
      <w:lvlJc w:val="left"/>
      <w:pPr>
        <w:tabs>
          <w:tab w:val="num" w:pos="5760"/>
        </w:tabs>
        <w:ind w:left="5760" w:hanging="360"/>
      </w:pPr>
      <w:rPr>
        <w:rFonts w:ascii="Arial" w:hAnsi="Arial" w:hint="default"/>
      </w:rPr>
    </w:lvl>
    <w:lvl w:ilvl="8" w:tplc="3BA8F142"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760A2A8B"/>
    <w:multiLevelType w:val="hybridMultilevel"/>
    <w:tmpl w:val="83C22494"/>
    <w:lvl w:ilvl="0" w:tplc="853AA726">
      <w:start w:val="1"/>
      <w:numFmt w:val="bullet"/>
      <w:lvlText w:val="•"/>
      <w:lvlJc w:val="left"/>
      <w:pPr>
        <w:tabs>
          <w:tab w:val="num" w:pos="720"/>
        </w:tabs>
        <w:ind w:left="720" w:hanging="360"/>
      </w:pPr>
      <w:rPr>
        <w:rFonts w:ascii="Arial" w:hAnsi="Arial" w:hint="default"/>
      </w:rPr>
    </w:lvl>
    <w:lvl w:ilvl="1" w:tplc="D90C2F6A" w:tentative="1">
      <w:start w:val="1"/>
      <w:numFmt w:val="bullet"/>
      <w:lvlText w:val="•"/>
      <w:lvlJc w:val="left"/>
      <w:pPr>
        <w:tabs>
          <w:tab w:val="num" w:pos="1440"/>
        </w:tabs>
        <w:ind w:left="1440" w:hanging="360"/>
      </w:pPr>
      <w:rPr>
        <w:rFonts w:ascii="Arial" w:hAnsi="Arial" w:hint="default"/>
      </w:rPr>
    </w:lvl>
    <w:lvl w:ilvl="2" w:tplc="5D587160" w:tentative="1">
      <w:start w:val="1"/>
      <w:numFmt w:val="bullet"/>
      <w:lvlText w:val="•"/>
      <w:lvlJc w:val="left"/>
      <w:pPr>
        <w:tabs>
          <w:tab w:val="num" w:pos="2160"/>
        </w:tabs>
        <w:ind w:left="2160" w:hanging="360"/>
      </w:pPr>
      <w:rPr>
        <w:rFonts w:ascii="Arial" w:hAnsi="Arial" w:hint="default"/>
      </w:rPr>
    </w:lvl>
    <w:lvl w:ilvl="3" w:tplc="EDB4C362" w:tentative="1">
      <w:start w:val="1"/>
      <w:numFmt w:val="bullet"/>
      <w:lvlText w:val="•"/>
      <w:lvlJc w:val="left"/>
      <w:pPr>
        <w:tabs>
          <w:tab w:val="num" w:pos="2880"/>
        </w:tabs>
        <w:ind w:left="2880" w:hanging="360"/>
      </w:pPr>
      <w:rPr>
        <w:rFonts w:ascii="Arial" w:hAnsi="Arial" w:hint="default"/>
      </w:rPr>
    </w:lvl>
    <w:lvl w:ilvl="4" w:tplc="41D4C520" w:tentative="1">
      <w:start w:val="1"/>
      <w:numFmt w:val="bullet"/>
      <w:lvlText w:val="•"/>
      <w:lvlJc w:val="left"/>
      <w:pPr>
        <w:tabs>
          <w:tab w:val="num" w:pos="3600"/>
        </w:tabs>
        <w:ind w:left="3600" w:hanging="360"/>
      </w:pPr>
      <w:rPr>
        <w:rFonts w:ascii="Arial" w:hAnsi="Arial" w:hint="default"/>
      </w:rPr>
    </w:lvl>
    <w:lvl w:ilvl="5" w:tplc="108C49B8" w:tentative="1">
      <w:start w:val="1"/>
      <w:numFmt w:val="bullet"/>
      <w:lvlText w:val="•"/>
      <w:lvlJc w:val="left"/>
      <w:pPr>
        <w:tabs>
          <w:tab w:val="num" w:pos="4320"/>
        </w:tabs>
        <w:ind w:left="4320" w:hanging="360"/>
      </w:pPr>
      <w:rPr>
        <w:rFonts w:ascii="Arial" w:hAnsi="Arial" w:hint="default"/>
      </w:rPr>
    </w:lvl>
    <w:lvl w:ilvl="6" w:tplc="79CAAE66" w:tentative="1">
      <w:start w:val="1"/>
      <w:numFmt w:val="bullet"/>
      <w:lvlText w:val="•"/>
      <w:lvlJc w:val="left"/>
      <w:pPr>
        <w:tabs>
          <w:tab w:val="num" w:pos="5040"/>
        </w:tabs>
        <w:ind w:left="5040" w:hanging="360"/>
      </w:pPr>
      <w:rPr>
        <w:rFonts w:ascii="Arial" w:hAnsi="Arial" w:hint="default"/>
      </w:rPr>
    </w:lvl>
    <w:lvl w:ilvl="7" w:tplc="2330580E" w:tentative="1">
      <w:start w:val="1"/>
      <w:numFmt w:val="bullet"/>
      <w:lvlText w:val="•"/>
      <w:lvlJc w:val="left"/>
      <w:pPr>
        <w:tabs>
          <w:tab w:val="num" w:pos="5760"/>
        </w:tabs>
        <w:ind w:left="5760" w:hanging="360"/>
      </w:pPr>
      <w:rPr>
        <w:rFonts w:ascii="Arial" w:hAnsi="Arial" w:hint="default"/>
      </w:rPr>
    </w:lvl>
    <w:lvl w:ilvl="8" w:tplc="792023C0"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784E12D5"/>
    <w:multiLevelType w:val="hybridMultilevel"/>
    <w:tmpl w:val="676E7068"/>
    <w:lvl w:ilvl="0" w:tplc="E1506628">
      <w:start w:val="1"/>
      <w:numFmt w:val="bullet"/>
      <w:lvlText w:val="•"/>
      <w:lvlJc w:val="left"/>
      <w:pPr>
        <w:tabs>
          <w:tab w:val="num" w:pos="720"/>
        </w:tabs>
        <w:ind w:left="720" w:hanging="360"/>
      </w:pPr>
      <w:rPr>
        <w:rFonts w:ascii="Arial" w:hAnsi="Arial" w:hint="default"/>
      </w:rPr>
    </w:lvl>
    <w:lvl w:ilvl="1" w:tplc="7188DC2A" w:tentative="1">
      <w:start w:val="1"/>
      <w:numFmt w:val="bullet"/>
      <w:lvlText w:val="•"/>
      <w:lvlJc w:val="left"/>
      <w:pPr>
        <w:tabs>
          <w:tab w:val="num" w:pos="1440"/>
        </w:tabs>
        <w:ind w:left="1440" w:hanging="360"/>
      </w:pPr>
      <w:rPr>
        <w:rFonts w:ascii="Arial" w:hAnsi="Arial" w:hint="default"/>
      </w:rPr>
    </w:lvl>
    <w:lvl w:ilvl="2" w:tplc="CA408826" w:tentative="1">
      <w:start w:val="1"/>
      <w:numFmt w:val="bullet"/>
      <w:lvlText w:val="•"/>
      <w:lvlJc w:val="left"/>
      <w:pPr>
        <w:tabs>
          <w:tab w:val="num" w:pos="2160"/>
        </w:tabs>
        <w:ind w:left="2160" w:hanging="360"/>
      </w:pPr>
      <w:rPr>
        <w:rFonts w:ascii="Arial" w:hAnsi="Arial" w:hint="default"/>
      </w:rPr>
    </w:lvl>
    <w:lvl w:ilvl="3" w:tplc="B232AA22" w:tentative="1">
      <w:start w:val="1"/>
      <w:numFmt w:val="bullet"/>
      <w:lvlText w:val="•"/>
      <w:lvlJc w:val="left"/>
      <w:pPr>
        <w:tabs>
          <w:tab w:val="num" w:pos="2880"/>
        </w:tabs>
        <w:ind w:left="2880" w:hanging="360"/>
      </w:pPr>
      <w:rPr>
        <w:rFonts w:ascii="Arial" w:hAnsi="Arial" w:hint="default"/>
      </w:rPr>
    </w:lvl>
    <w:lvl w:ilvl="4" w:tplc="5FC8E684" w:tentative="1">
      <w:start w:val="1"/>
      <w:numFmt w:val="bullet"/>
      <w:lvlText w:val="•"/>
      <w:lvlJc w:val="left"/>
      <w:pPr>
        <w:tabs>
          <w:tab w:val="num" w:pos="3600"/>
        </w:tabs>
        <w:ind w:left="3600" w:hanging="360"/>
      </w:pPr>
      <w:rPr>
        <w:rFonts w:ascii="Arial" w:hAnsi="Arial" w:hint="default"/>
      </w:rPr>
    </w:lvl>
    <w:lvl w:ilvl="5" w:tplc="EF5C4442" w:tentative="1">
      <w:start w:val="1"/>
      <w:numFmt w:val="bullet"/>
      <w:lvlText w:val="•"/>
      <w:lvlJc w:val="left"/>
      <w:pPr>
        <w:tabs>
          <w:tab w:val="num" w:pos="4320"/>
        </w:tabs>
        <w:ind w:left="4320" w:hanging="360"/>
      </w:pPr>
      <w:rPr>
        <w:rFonts w:ascii="Arial" w:hAnsi="Arial" w:hint="default"/>
      </w:rPr>
    </w:lvl>
    <w:lvl w:ilvl="6" w:tplc="E54E8E66" w:tentative="1">
      <w:start w:val="1"/>
      <w:numFmt w:val="bullet"/>
      <w:lvlText w:val="•"/>
      <w:lvlJc w:val="left"/>
      <w:pPr>
        <w:tabs>
          <w:tab w:val="num" w:pos="5040"/>
        </w:tabs>
        <w:ind w:left="5040" w:hanging="360"/>
      </w:pPr>
      <w:rPr>
        <w:rFonts w:ascii="Arial" w:hAnsi="Arial" w:hint="default"/>
      </w:rPr>
    </w:lvl>
    <w:lvl w:ilvl="7" w:tplc="8C448258" w:tentative="1">
      <w:start w:val="1"/>
      <w:numFmt w:val="bullet"/>
      <w:lvlText w:val="•"/>
      <w:lvlJc w:val="left"/>
      <w:pPr>
        <w:tabs>
          <w:tab w:val="num" w:pos="5760"/>
        </w:tabs>
        <w:ind w:left="5760" w:hanging="360"/>
      </w:pPr>
      <w:rPr>
        <w:rFonts w:ascii="Arial" w:hAnsi="Arial" w:hint="default"/>
      </w:rPr>
    </w:lvl>
    <w:lvl w:ilvl="8" w:tplc="F8F8D5A2" w:tentative="1">
      <w:start w:val="1"/>
      <w:numFmt w:val="bullet"/>
      <w:lvlText w:val="•"/>
      <w:lvlJc w:val="left"/>
      <w:pPr>
        <w:tabs>
          <w:tab w:val="num" w:pos="6480"/>
        </w:tabs>
        <w:ind w:left="6480" w:hanging="360"/>
      </w:pPr>
      <w:rPr>
        <w:rFonts w:ascii="Arial" w:hAnsi="Arial" w:hint="default"/>
      </w:rPr>
    </w:lvl>
  </w:abstractNum>
  <w:num w:numId="1">
    <w:abstractNumId w:val="5"/>
  </w:num>
  <w:num w:numId="2">
    <w:abstractNumId w:val="3"/>
  </w:num>
  <w:num w:numId="3">
    <w:abstractNumId w:val="0"/>
  </w:num>
  <w:num w:numId="4">
    <w:abstractNumId w:val="4"/>
  </w:num>
  <w:num w:numId="5">
    <w:abstractNumId w:val="2"/>
  </w:num>
  <w:num w:numId="6">
    <w:abstractNumId w:val="1"/>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4E60"/>
    <w:rsid w:val="000065CC"/>
    <w:rsid w:val="000C5E45"/>
    <w:rsid w:val="002D5782"/>
    <w:rsid w:val="004356B0"/>
    <w:rsid w:val="00506A10"/>
    <w:rsid w:val="00795EB9"/>
    <w:rsid w:val="009219A3"/>
    <w:rsid w:val="00AA51E6"/>
    <w:rsid w:val="00BE5241"/>
    <w:rsid w:val="00C84680"/>
    <w:rsid w:val="00C97D46"/>
    <w:rsid w:val="00D9577F"/>
    <w:rsid w:val="00EA4E60"/>
    <w:rsid w:val="00FE749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FA2754"/>
  <w15:chartTrackingRefBased/>
  <w15:docId w15:val="{A938F70E-6028-420C-8DA8-19648F5E0C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5EB9"/>
    <w:rPr>
      <w:rFonts w:ascii="Verdana" w:hAnsi="Verdana"/>
      <w:sz w:val="24"/>
    </w:rPr>
  </w:style>
  <w:style w:type="paragraph" w:styleId="Heading1">
    <w:name w:val="heading 1"/>
    <w:basedOn w:val="Normal"/>
    <w:next w:val="Normal"/>
    <w:link w:val="Heading1Char"/>
    <w:uiPriority w:val="9"/>
    <w:qFormat/>
    <w:rsid w:val="00795EB9"/>
    <w:pPr>
      <w:keepNext/>
      <w:keepLines/>
      <w:spacing w:before="240" w:after="0"/>
      <w:outlineLvl w:val="0"/>
    </w:pPr>
    <w:rPr>
      <w:rFonts w:asciiTheme="majorHAnsi" w:eastAsiaTheme="majorEastAsia" w:hAnsiTheme="majorHAnsi" w:cstheme="majorBidi"/>
      <w:b/>
      <w:sz w:val="32"/>
      <w:szCs w:val="32"/>
    </w:rPr>
  </w:style>
  <w:style w:type="paragraph" w:styleId="Heading2">
    <w:name w:val="heading 2"/>
    <w:basedOn w:val="Normal"/>
    <w:next w:val="Normal"/>
    <w:link w:val="Heading2Char"/>
    <w:uiPriority w:val="9"/>
    <w:unhideWhenUsed/>
    <w:qFormat/>
    <w:rsid w:val="00EA4E60"/>
    <w:pPr>
      <w:keepNext/>
      <w:keepLines/>
      <w:spacing w:before="40" w:after="0"/>
      <w:outlineLvl w:val="1"/>
    </w:pPr>
    <w:rPr>
      <w:rFonts w:asciiTheme="majorHAnsi" w:eastAsiaTheme="majorEastAsia" w:hAnsiTheme="majorHAnsi" w:cstheme="majorBidi"/>
      <w:sz w:val="28"/>
      <w:szCs w:val="26"/>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95EB9"/>
    <w:rPr>
      <w:rFonts w:asciiTheme="majorHAnsi" w:eastAsiaTheme="majorEastAsia" w:hAnsiTheme="majorHAnsi" w:cstheme="majorBidi"/>
      <w:b/>
      <w:sz w:val="32"/>
      <w:szCs w:val="32"/>
    </w:rPr>
  </w:style>
  <w:style w:type="character" w:customStyle="1" w:styleId="Heading2Char">
    <w:name w:val="Heading 2 Char"/>
    <w:basedOn w:val="DefaultParagraphFont"/>
    <w:link w:val="Heading2"/>
    <w:uiPriority w:val="9"/>
    <w:rsid w:val="00EA4E60"/>
    <w:rPr>
      <w:rFonts w:asciiTheme="majorHAnsi" w:eastAsiaTheme="majorEastAsia" w:hAnsiTheme="majorHAnsi" w:cstheme="majorBidi"/>
      <w:sz w:val="28"/>
      <w:szCs w:val="26"/>
      <w:u w:val="single"/>
    </w:rPr>
  </w:style>
  <w:style w:type="paragraph" w:styleId="Title">
    <w:name w:val="Title"/>
    <w:basedOn w:val="Normal"/>
    <w:next w:val="Normal"/>
    <w:link w:val="TitleChar"/>
    <w:uiPriority w:val="10"/>
    <w:qFormat/>
    <w:rsid w:val="00EA4E60"/>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A4E60"/>
    <w:rPr>
      <w:rFonts w:asciiTheme="majorHAnsi" w:eastAsiaTheme="majorEastAsia" w:hAnsiTheme="majorHAnsi" w:cstheme="majorBidi"/>
      <w:spacing w:val="-10"/>
      <w:kern w:val="28"/>
      <w:sz w:val="56"/>
      <w:szCs w:val="56"/>
    </w:rPr>
  </w:style>
  <w:style w:type="character" w:styleId="Hyperlink">
    <w:name w:val="Hyperlink"/>
    <w:basedOn w:val="DefaultParagraphFont"/>
    <w:uiPriority w:val="99"/>
    <w:unhideWhenUsed/>
    <w:rsid w:val="00506A10"/>
    <w:rPr>
      <w:color w:val="0563C1" w:themeColor="hyperlink"/>
      <w:u w:val="single"/>
    </w:rPr>
  </w:style>
  <w:style w:type="character" w:styleId="UnresolvedMention">
    <w:name w:val="Unresolved Mention"/>
    <w:basedOn w:val="DefaultParagraphFont"/>
    <w:uiPriority w:val="99"/>
    <w:semiHidden/>
    <w:unhideWhenUsed/>
    <w:rsid w:val="00506A10"/>
    <w:rPr>
      <w:color w:val="605E5C"/>
      <w:shd w:val="clear" w:color="auto" w:fill="E1DFDD"/>
    </w:rPr>
  </w:style>
  <w:style w:type="paragraph" w:styleId="ListParagraph">
    <w:name w:val="List Paragraph"/>
    <w:basedOn w:val="Normal"/>
    <w:uiPriority w:val="34"/>
    <w:qFormat/>
    <w:rsid w:val="00506A1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3631056">
      <w:bodyDiv w:val="1"/>
      <w:marLeft w:val="0"/>
      <w:marRight w:val="0"/>
      <w:marTop w:val="0"/>
      <w:marBottom w:val="0"/>
      <w:divBdr>
        <w:top w:val="none" w:sz="0" w:space="0" w:color="auto"/>
        <w:left w:val="none" w:sz="0" w:space="0" w:color="auto"/>
        <w:bottom w:val="none" w:sz="0" w:space="0" w:color="auto"/>
        <w:right w:val="none" w:sz="0" w:space="0" w:color="auto"/>
      </w:divBdr>
    </w:div>
    <w:div w:id="326641318">
      <w:bodyDiv w:val="1"/>
      <w:marLeft w:val="0"/>
      <w:marRight w:val="0"/>
      <w:marTop w:val="0"/>
      <w:marBottom w:val="0"/>
      <w:divBdr>
        <w:top w:val="none" w:sz="0" w:space="0" w:color="auto"/>
        <w:left w:val="none" w:sz="0" w:space="0" w:color="auto"/>
        <w:bottom w:val="none" w:sz="0" w:space="0" w:color="auto"/>
        <w:right w:val="none" w:sz="0" w:space="0" w:color="auto"/>
      </w:divBdr>
    </w:div>
    <w:div w:id="327680111">
      <w:bodyDiv w:val="1"/>
      <w:marLeft w:val="0"/>
      <w:marRight w:val="0"/>
      <w:marTop w:val="0"/>
      <w:marBottom w:val="0"/>
      <w:divBdr>
        <w:top w:val="none" w:sz="0" w:space="0" w:color="auto"/>
        <w:left w:val="none" w:sz="0" w:space="0" w:color="auto"/>
        <w:bottom w:val="none" w:sz="0" w:space="0" w:color="auto"/>
        <w:right w:val="none" w:sz="0" w:space="0" w:color="auto"/>
      </w:divBdr>
    </w:div>
    <w:div w:id="339897611">
      <w:bodyDiv w:val="1"/>
      <w:marLeft w:val="0"/>
      <w:marRight w:val="0"/>
      <w:marTop w:val="0"/>
      <w:marBottom w:val="0"/>
      <w:divBdr>
        <w:top w:val="none" w:sz="0" w:space="0" w:color="auto"/>
        <w:left w:val="none" w:sz="0" w:space="0" w:color="auto"/>
        <w:bottom w:val="none" w:sz="0" w:space="0" w:color="auto"/>
        <w:right w:val="none" w:sz="0" w:space="0" w:color="auto"/>
      </w:divBdr>
      <w:divsChild>
        <w:div w:id="530916525">
          <w:marLeft w:val="360"/>
          <w:marRight w:val="0"/>
          <w:marTop w:val="200"/>
          <w:marBottom w:val="0"/>
          <w:divBdr>
            <w:top w:val="none" w:sz="0" w:space="0" w:color="auto"/>
            <w:left w:val="none" w:sz="0" w:space="0" w:color="auto"/>
            <w:bottom w:val="none" w:sz="0" w:space="0" w:color="auto"/>
            <w:right w:val="none" w:sz="0" w:space="0" w:color="auto"/>
          </w:divBdr>
        </w:div>
        <w:div w:id="2009551206">
          <w:marLeft w:val="360"/>
          <w:marRight w:val="0"/>
          <w:marTop w:val="200"/>
          <w:marBottom w:val="0"/>
          <w:divBdr>
            <w:top w:val="none" w:sz="0" w:space="0" w:color="auto"/>
            <w:left w:val="none" w:sz="0" w:space="0" w:color="auto"/>
            <w:bottom w:val="none" w:sz="0" w:space="0" w:color="auto"/>
            <w:right w:val="none" w:sz="0" w:space="0" w:color="auto"/>
          </w:divBdr>
        </w:div>
        <w:div w:id="1108428514">
          <w:marLeft w:val="360"/>
          <w:marRight w:val="0"/>
          <w:marTop w:val="200"/>
          <w:marBottom w:val="0"/>
          <w:divBdr>
            <w:top w:val="none" w:sz="0" w:space="0" w:color="auto"/>
            <w:left w:val="none" w:sz="0" w:space="0" w:color="auto"/>
            <w:bottom w:val="none" w:sz="0" w:space="0" w:color="auto"/>
            <w:right w:val="none" w:sz="0" w:space="0" w:color="auto"/>
          </w:divBdr>
        </w:div>
        <w:div w:id="1846624828">
          <w:marLeft w:val="360"/>
          <w:marRight w:val="0"/>
          <w:marTop w:val="200"/>
          <w:marBottom w:val="0"/>
          <w:divBdr>
            <w:top w:val="none" w:sz="0" w:space="0" w:color="auto"/>
            <w:left w:val="none" w:sz="0" w:space="0" w:color="auto"/>
            <w:bottom w:val="none" w:sz="0" w:space="0" w:color="auto"/>
            <w:right w:val="none" w:sz="0" w:space="0" w:color="auto"/>
          </w:divBdr>
        </w:div>
      </w:divsChild>
    </w:div>
    <w:div w:id="361446275">
      <w:bodyDiv w:val="1"/>
      <w:marLeft w:val="0"/>
      <w:marRight w:val="0"/>
      <w:marTop w:val="0"/>
      <w:marBottom w:val="0"/>
      <w:divBdr>
        <w:top w:val="none" w:sz="0" w:space="0" w:color="auto"/>
        <w:left w:val="none" w:sz="0" w:space="0" w:color="auto"/>
        <w:bottom w:val="none" w:sz="0" w:space="0" w:color="auto"/>
        <w:right w:val="none" w:sz="0" w:space="0" w:color="auto"/>
      </w:divBdr>
    </w:div>
    <w:div w:id="459424140">
      <w:bodyDiv w:val="1"/>
      <w:marLeft w:val="0"/>
      <w:marRight w:val="0"/>
      <w:marTop w:val="0"/>
      <w:marBottom w:val="0"/>
      <w:divBdr>
        <w:top w:val="none" w:sz="0" w:space="0" w:color="auto"/>
        <w:left w:val="none" w:sz="0" w:space="0" w:color="auto"/>
        <w:bottom w:val="none" w:sz="0" w:space="0" w:color="auto"/>
        <w:right w:val="none" w:sz="0" w:space="0" w:color="auto"/>
      </w:divBdr>
    </w:div>
    <w:div w:id="540633247">
      <w:bodyDiv w:val="1"/>
      <w:marLeft w:val="0"/>
      <w:marRight w:val="0"/>
      <w:marTop w:val="0"/>
      <w:marBottom w:val="0"/>
      <w:divBdr>
        <w:top w:val="none" w:sz="0" w:space="0" w:color="auto"/>
        <w:left w:val="none" w:sz="0" w:space="0" w:color="auto"/>
        <w:bottom w:val="none" w:sz="0" w:space="0" w:color="auto"/>
        <w:right w:val="none" w:sz="0" w:space="0" w:color="auto"/>
      </w:divBdr>
    </w:div>
    <w:div w:id="576744112">
      <w:bodyDiv w:val="1"/>
      <w:marLeft w:val="0"/>
      <w:marRight w:val="0"/>
      <w:marTop w:val="0"/>
      <w:marBottom w:val="0"/>
      <w:divBdr>
        <w:top w:val="none" w:sz="0" w:space="0" w:color="auto"/>
        <w:left w:val="none" w:sz="0" w:space="0" w:color="auto"/>
        <w:bottom w:val="none" w:sz="0" w:space="0" w:color="auto"/>
        <w:right w:val="none" w:sz="0" w:space="0" w:color="auto"/>
      </w:divBdr>
      <w:divsChild>
        <w:div w:id="9722456">
          <w:marLeft w:val="720"/>
          <w:marRight w:val="0"/>
          <w:marTop w:val="0"/>
          <w:marBottom w:val="0"/>
          <w:divBdr>
            <w:top w:val="none" w:sz="0" w:space="0" w:color="auto"/>
            <w:left w:val="none" w:sz="0" w:space="0" w:color="auto"/>
            <w:bottom w:val="none" w:sz="0" w:space="0" w:color="auto"/>
            <w:right w:val="none" w:sz="0" w:space="0" w:color="auto"/>
          </w:divBdr>
        </w:div>
        <w:div w:id="1870364391">
          <w:marLeft w:val="720"/>
          <w:marRight w:val="0"/>
          <w:marTop w:val="0"/>
          <w:marBottom w:val="0"/>
          <w:divBdr>
            <w:top w:val="none" w:sz="0" w:space="0" w:color="auto"/>
            <w:left w:val="none" w:sz="0" w:space="0" w:color="auto"/>
            <w:bottom w:val="none" w:sz="0" w:space="0" w:color="auto"/>
            <w:right w:val="none" w:sz="0" w:space="0" w:color="auto"/>
          </w:divBdr>
        </w:div>
      </w:divsChild>
    </w:div>
    <w:div w:id="737023246">
      <w:bodyDiv w:val="1"/>
      <w:marLeft w:val="0"/>
      <w:marRight w:val="0"/>
      <w:marTop w:val="0"/>
      <w:marBottom w:val="0"/>
      <w:divBdr>
        <w:top w:val="none" w:sz="0" w:space="0" w:color="auto"/>
        <w:left w:val="none" w:sz="0" w:space="0" w:color="auto"/>
        <w:bottom w:val="none" w:sz="0" w:space="0" w:color="auto"/>
        <w:right w:val="none" w:sz="0" w:space="0" w:color="auto"/>
      </w:divBdr>
    </w:div>
    <w:div w:id="998844990">
      <w:bodyDiv w:val="1"/>
      <w:marLeft w:val="0"/>
      <w:marRight w:val="0"/>
      <w:marTop w:val="0"/>
      <w:marBottom w:val="0"/>
      <w:divBdr>
        <w:top w:val="none" w:sz="0" w:space="0" w:color="auto"/>
        <w:left w:val="none" w:sz="0" w:space="0" w:color="auto"/>
        <w:bottom w:val="none" w:sz="0" w:space="0" w:color="auto"/>
        <w:right w:val="none" w:sz="0" w:space="0" w:color="auto"/>
      </w:divBdr>
    </w:div>
    <w:div w:id="1239946304">
      <w:bodyDiv w:val="1"/>
      <w:marLeft w:val="0"/>
      <w:marRight w:val="0"/>
      <w:marTop w:val="0"/>
      <w:marBottom w:val="0"/>
      <w:divBdr>
        <w:top w:val="none" w:sz="0" w:space="0" w:color="auto"/>
        <w:left w:val="none" w:sz="0" w:space="0" w:color="auto"/>
        <w:bottom w:val="none" w:sz="0" w:space="0" w:color="auto"/>
        <w:right w:val="none" w:sz="0" w:space="0" w:color="auto"/>
      </w:divBdr>
      <w:divsChild>
        <w:div w:id="488785742">
          <w:marLeft w:val="360"/>
          <w:marRight w:val="0"/>
          <w:marTop w:val="200"/>
          <w:marBottom w:val="0"/>
          <w:divBdr>
            <w:top w:val="none" w:sz="0" w:space="0" w:color="auto"/>
            <w:left w:val="none" w:sz="0" w:space="0" w:color="auto"/>
            <w:bottom w:val="none" w:sz="0" w:space="0" w:color="auto"/>
            <w:right w:val="none" w:sz="0" w:space="0" w:color="auto"/>
          </w:divBdr>
        </w:div>
        <w:div w:id="973146220">
          <w:marLeft w:val="360"/>
          <w:marRight w:val="0"/>
          <w:marTop w:val="200"/>
          <w:marBottom w:val="0"/>
          <w:divBdr>
            <w:top w:val="none" w:sz="0" w:space="0" w:color="auto"/>
            <w:left w:val="none" w:sz="0" w:space="0" w:color="auto"/>
            <w:bottom w:val="none" w:sz="0" w:space="0" w:color="auto"/>
            <w:right w:val="none" w:sz="0" w:space="0" w:color="auto"/>
          </w:divBdr>
        </w:div>
        <w:div w:id="835850035">
          <w:marLeft w:val="360"/>
          <w:marRight w:val="0"/>
          <w:marTop w:val="200"/>
          <w:marBottom w:val="0"/>
          <w:divBdr>
            <w:top w:val="none" w:sz="0" w:space="0" w:color="auto"/>
            <w:left w:val="none" w:sz="0" w:space="0" w:color="auto"/>
            <w:bottom w:val="none" w:sz="0" w:space="0" w:color="auto"/>
            <w:right w:val="none" w:sz="0" w:space="0" w:color="auto"/>
          </w:divBdr>
        </w:div>
        <w:div w:id="1221819398">
          <w:marLeft w:val="360"/>
          <w:marRight w:val="0"/>
          <w:marTop w:val="200"/>
          <w:marBottom w:val="0"/>
          <w:divBdr>
            <w:top w:val="none" w:sz="0" w:space="0" w:color="auto"/>
            <w:left w:val="none" w:sz="0" w:space="0" w:color="auto"/>
            <w:bottom w:val="none" w:sz="0" w:space="0" w:color="auto"/>
            <w:right w:val="none" w:sz="0" w:space="0" w:color="auto"/>
          </w:divBdr>
        </w:div>
        <w:div w:id="1262572647">
          <w:marLeft w:val="360"/>
          <w:marRight w:val="0"/>
          <w:marTop w:val="200"/>
          <w:marBottom w:val="0"/>
          <w:divBdr>
            <w:top w:val="none" w:sz="0" w:space="0" w:color="auto"/>
            <w:left w:val="none" w:sz="0" w:space="0" w:color="auto"/>
            <w:bottom w:val="none" w:sz="0" w:space="0" w:color="auto"/>
            <w:right w:val="none" w:sz="0" w:space="0" w:color="auto"/>
          </w:divBdr>
        </w:div>
        <w:div w:id="104662589">
          <w:marLeft w:val="360"/>
          <w:marRight w:val="0"/>
          <w:marTop w:val="200"/>
          <w:marBottom w:val="0"/>
          <w:divBdr>
            <w:top w:val="none" w:sz="0" w:space="0" w:color="auto"/>
            <w:left w:val="none" w:sz="0" w:space="0" w:color="auto"/>
            <w:bottom w:val="none" w:sz="0" w:space="0" w:color="auto"/>
            <w:right w:val="none" w:sz="0" w:space="0" w:color="auto"/>
          </w:divBdr>
        </w:div>
      </w:divsChild>
    </w:div>
    <w:div w:id="1271470299">
      <w:bodyDiv w:val="1"/>
      <w:marLeft w:val="0"/>
      <w:marRight w:val="0"/>
      <w:marTop w:val="0"/>
      <w:marBottom w:val="0"/>
      <w:divBdr>
        <w:top w:val="none" w:sz="0" w:space="0" w:color="auto"/>
        <w:left w:val="none" w:sz="0" w:space="0" w:color="auto"/>
        <w:bottom w:val="none" w:sz="0" w:space="0" w:color="auto"/>
        <w:right w:val="none" w:sz="0" w:space="0" w:color="auto"/>
      </w:divBdr>
      <w:divsChild>
        <w:div w:id="1174414412">
          <w:marLeft w:val="360"/>
          <w:marRight w:val="0"/>
          <w:marTop w:val="200"/>
          <w:marBottom w:val="0"/>
          <w:divBdr>
            <w:top w:val="none" w:sz="0" w:space="0" w:color="auto"/>
            <w:left w:val="none" w:sz="0" w:space="0" w:color="auto"/>
            <w:bottom w:val="none" w:sz="0" w:space="0" w:color="auto"/>
            <w:right w:val="none" w:sz="0" w:space="0" w:color="auto"/>
          </w:divBdr>
        </w:div>
        <w:div w:id="1684894362">
          <w:marLeft w:val="360"/>
          <w:marRight w:val="0"/>
          <w:marTop w:val="200"/>
          <w:marBottom w:val="0"/>
          <w:divBdr>
            <w:top w:val="none" w:sz="0" w:space="0" w:color="auto"/>
            <w:left w:val="none" w:sz="0" w:space="0" w:color="auto"/>
            <w:bottom w:val="none" w:sz="0" w:space="0" w:color="auto"/>
            <w:right w:val="none" w:sz="0" w:space="0" w:color="auto"/>
          </w:divBdr>
        </w:div>
        <w:div w:id="951211352">
          <w:marLeft w:val="360"/>
          <w:marRight w:val="0"/>
          <w:marTop w:val="200"/>
          <w:marBottom w:val="0"/>
          <w:divBdr>
            <w:top w:val="none" w:sz="0" w:space="0" w:color="auto"/>
            <w:left w:val="none" w:sz="0" w:space="0" w:color="auto"/>
            <w:bottom w:val="none" w:sz="0" w:space="0" w:color="auto"/>
            <w:right w:val="none" w:sz="0" w:space="0" w:color="auto"/>
          </w:divBdr>
        </w:div>
        <w:div w:id="2020349271">
          <w:marLeft w:val="360"/>
          <w:marRight w:val="0"/>
          <w:marTop w:val="200"/>
          <w:marBottom w:val="0"/>
          <w:divBdr>
            <w:top w:val="none" w:sz="0" w:space="0" w:color="auto"/>
            <w:left w:val="none" w:sz="0" w:space="0" w:color="auto"/>
            <w:bottom w:val="none" w:sz="0" w:space="0" w:color="auto"/>
            <w:right w:val="none" w:sz="0" w:space="0" w:color="auto"/>
          </w:divBdr>
        </w:div>
      </w:divsChild>
    </w:div>
    <w:div w:id="1450392891">
      <w:bodyDiv w:val="1"/>
      <w:marLeft w:val="0"/>
      <w:marRight w:val="0"/>
      <w:marTop w:val="0"/>
      <w:marBottom w:val="0"/>
      <w:divBdr>
        <w:top w:val="none" w:sz="0" w:space="0" w:color="auto"/>
        <w:left w:val="none" w:sz="0" w:space="0" w:color="auto"/>
        <w:bottom w:val="none" w:sz="0" w:space="0" w:color="auto"/>
        <w:right w:val="none" w:sz="0" w:space="0" w:color="auto"/>
      </w:divBdr>
      <w:divsChild>
        <w:div w:id="225725785">
          <w:marLeft w:val="360"/>
          <w:marRight w:val="0"/>
          <w:marTop w:val="200"/>
          <w:marBottom w:val="0"/>
          <w:divBdr>
            <w:top w:val="none" w:sz="0" w:space="0" w:color="auto"/>
            <w:left w:val="none" w:sz="0" w:space="0" w:color="auto"/>
            <w:bottom w:val="none" w:sz="0" w:space="0" w:color="auto"/>
            <w:right w:val="none" w:sz="0" w:space="0" w:color="auto"/>
          </w:divBdr>
        </w:div>
        <w:div w:id="1266959764">
          <w:marLeft w:val="360"/>
          <w:marRight w:val="0"/>
          <w:marTop w:val="200"/>
          <w:marBottom w:val="0"/>
          <w:divBdr>
            <w:top w:val="none" w:sz="0" w:space="0" w:color="auto"/>
            <w:left w:val="none" w:sz="0" w:space="0" w:color="auto"/>
            <w:bottom w:val="none" w:sz="0" w:space="0" w:color="auto"/>
            <w:right w:val="none" w:sz="0" w:space="0" w:color="auto"/>
          </w:divBdr>
        </w:div>
        <w:div w:id="1773435943">
          <w:marLeft w:val="360"/>
          <w:marRight w:val="0"/>
          <w:marTop w:val="200"/>
          <w:marBottom w:val="0"/>
          <w:divBdr>
            <w:top w:val="none" w:sz="0" w:space="0" w:color="auto"/>
            <w:left w:val="none" w:sz="0" w:space="0" w:color="auto"/>
            <w:bottom w:val="none" w:sz="0" w:space="0" w:color="auto"/>
            <w:right w:val="none" w:sz="0" w:space="0" w:color="auto"/>
          </w:divBdr>
        </w:div>
        <w:div w:id="472917697">
          <w:marLeft w:val="360"/>
          <w:marRight w:val="0"/>
          <w:marTop w:val="200"/>
          <w:marBottom w:val="0"/>
          <w:divBdr>
            <w:top w:val="none" w:sz="0" w:space="0" w:color="auto"/>
            <w:left w:val="none" w:sz="0" w:space="0" w:color="auto"/>
            <w:bottom w:val="none" w:sz="0" w:space="0" w:color="auto"/>
            <w:right w:val="none" w:sz="0" w:space="0" w:color="auto"/>
          </w:divBdr>
        </w:div>
        <w:div w:id="2039965925">
          <w:marLeft w:val="360"/>
          <w:marRight w:val="0"/>
          <w:marTop w:val="200"/>
          <w:marBottom w:val="0"/>
          <w:divBdr>
            <w:top w:val="none" w:sz="0" w:space="0" w:color="auto"/>
            <w:left w:val="none" w:sz="0" w:space="0" w:color="auto"/>
            <w:bottom w:val="none" w:sz="0" w:space="0" w:color="auto"/>
            <w:right w:val="none" w:sz="0" w:space="0" w:color="auto"/>
          </w:divBdr>
        </w:div>
        <w:div w:id="623466847">
          <w:marLeft w:val="360"/>
          <w:marRight w:val="0"/>
          <w:marTop w:val="200"/>
          <w:marBottom w:val="0"/>
          <w:divBdr>
            <w:top w:val="none" w:sz="0" w:space="0" w:color="auto"/>
            <w:left w:val="none" w:sz="0" w:space="0" w:color="auto"/>
            <w:bottom w:val="none" w:sz="0" w:space="0" w:color="auto"/>
            <w:right w:val="none" w:sz="0" w:space="0" w:color="auto"/>
          </w:divBdr>
        </w:div>
        <w:div w:id="1107847701">
          <w:marLeft w:val="360"/>
          <w:marRight w:val="0"/>
          <w:marTop w:val="200"/>
          <w:marBottom w:val="0"/>
          <w:divBdr>
            <w:top w:val="none" w:sz="0" w:space="0" w:color="auto"/>
            <w:left w:val="none" w:sz="0" w:space="0" w:color="auto"/>
            <w:bottom w:val="none" w:sz="0" w:space="0" w:color="auto"/>
            <w:right w:val="none" w:sz="0" w:space="0" w:color="auto"/>
          </w:divBdr>
        </w:div>
      </w:divsChild>
    </w:div>
    <w:div w:id="1473673496">
      <w:bodyDiv w:val="1"/>
      <w:marLeft w:val="0"/>
      <w:marRight w:val="0"/>
      <w:marTop w:val="0"/>
      <w:marBottom w:val="0"/>
      <w:divBdr>
        <w:top w:val="none" w:sz="0" w:space="0" w:color="auto"/>
        <w:left w:val="none" w:sz="0" w:space="0" w:color="auto"/>
        <w:bottom w:val="none" w:sz="0" w:space="0" w:color="auto"/>
        <w:right w:val="none" w:sz="0" w:space="0" w:color="auto"/>
      </w:divBdr>
    </w:div>
    <w:div w:id="1476098718">
      <w:bodyDiv w:val="1"/>
      <w:marLeft w:val="0"/>
      <w:marRight w:val="0"/>
      <w:marTop w:val="0"/>
      <w:marBottom w:val="0"/>
      <w:divBdr>
        <w:top w:val="none" w:sz="0" w:space="0" w:color="auto"/>
        <w:left w:val="none" w:sz="0" w:space="0" w:color="auto"/>
        <w:bottom w:val="none" w:sz="0" w:space="0" w:color="auto"/>
        <w:right w:val="none" w:sz="0" w:space="0" w:color="auto"/>
      </w:divBdr>
    </w:div>
    <w:div w:id="1613587706">
      <w:bodyDiv w:val="1"/>
      <w:marLeft w:val="0"/>
      <w:marRight w:val="0"/>
      <w:marTop w:val="0"/>
      <w:marBottom w:val="0"/>
      <w:divBdr>
        <w:top w:val="none" w:sz="0" w:space="0" w:color="auto"/>
        <w:left w:val="none" w:sz="0" w:space="0" w:color="auto"/>
        <w:bottom w:val="none" w:sz="0" w:space="0" w:color="auto"/>
        <w:right w:val="none" w:sz="0" w:space="0" w:color="auto"/>
      </w:divBdr>
      <w:divsChild>
        <w:div w:id="1831100182">
          <w:marLeft w:val="806"/>
          <w:marRight w:val="0"/>
          <w:marTop w:val="200"/>
          <w:marBottom w:val="0"/>
          <w:divBdr>
            <w:top w:val="none" w:sz="0" w:space="0" w:color="auto"/>
            <w:left w:val="none" w:sz="0" w:space="0" w:color="auto"/>
            <w:bottom w:val="none" w:sz="0" w:space="0" w:color="auto"/>
            <w:right w:val="none" w:sz="0" w:space="0" w:color="auto"/>
          </w:divBdr>
        </w:div>
        <w:div w:id="1008143829">
          <w:marLeft w:val="806"/>
          <w:marRight w:val="0"/>
          <w:marTop w:val="200"/>
          <w:marBottom w:val="0"/>
          <w:divBdr>
            <w:top w:val="none" w:sz="0" w:space="0" w:color="auto"/>
            <w:left w:val="none" w:sz="0" w:space="0" w:color="auto"/>
            <w:bottom w:val="none" w:sz="0" w:space="0" w:color="auto"/>
            <w:right w:val="none" w:sz="0" w:space="0" w:color="auto"/>
          </w:divBdr>
        </w:div>
        <w:div w:id="1735817546">
          <w:marLeft w:val="806"/>
          <w:marRight w:val="0"/>
          <w:marTop w:val="200"/>
          <w:marBottom w:val="0"/>
          <w:divBdr>
            <w:top w:val="none" w:sz="0" w:space="0" w:color="auto"/>
            <w:left w:val="none" w:sz="0" w:space="0" w:color="auto"/>
            <w:bottom w:val="none" w:sz="0" w:space="0" w:color="auto"/>
            <w:right w:val="none" w:sz="0" w:space="0" w:color="auto"/>
          </w:divBdr>
        </w:div>
        <w:div w:id="1545294013">
          <w:marLeft w:val="806"/>
          <w:marRight w:val="0"/>
          <w:marTop w:val="200"/>
          <w:marBottom w:val="0"/>
          <w:divBdr>
            <w:top w:val="none" w:sz="0" w:space="0" w:color="auto"/>
            <w:left w:val="none" w:sz="0" w:space="0" w:color="auto"/>
            <w:bottom w:val="none" w:sz="0" w:space="0" w:color="auto"/>
            <w:right w:val="none" w:sz="0" w:space="0" w:color="auto"/>
          </w:divBdr>
        </w:div>
        <w:div w:id="2060397266">
          <w:marLeft w:val="806"/>
          <w:marRight w:val="0"/>
          <w:marTop w:val="200"/>
          <w:marBottom w:val="0"/>
          <w:divBdr>
            <w:top w:val="none" w:sz="0" w:space="0" w:color="auto"/>
            <w:left w:val="none" w:sz="0" w:space="0" w:color="auto"/>
            <w:bottom w:val="none" w:sz="0" w:space="0" w:color="auto"/>
            <w:right w:val="none" w:sz="0" w:space="0" w:color="auto"/>
          </w:divBdr>
        </w:div>
      </w:divsChild>
    </w:div>
    <w:div w:id="1897814840">
      <w:bodyDiv w:val="1"/>
      <w:marLeft w:val="0"/>
      <w:marRight w:val="0"/>
      <w:marTop w:val="0"/>
      <w:marBottom w:val="0"/>
      <w:divBdr>
        <w:top w:val="none" w:sz="0" w:space="0" w:color="auto"/>
        <w:left w:val="none" w:sz="0" w:space="0" w:color="auto"/>
        <w:bottom w:val="none" w:sz="0" w:space="0" w:color="auto"/>
        <w:right w:val="none" w:sz="0" w:space="0" w:color="auto"/>
      </w:divBdr>
    </w:div>
    <w:div w:id="2061246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rachel.davies@dmu.ac.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dmu.ac.uk/decolonising" TargetMode="External"/><Relationship Id="rId5" Type="http://schemas.openxmlformats.org/officeDocument/2006/relationships/hyperlink" Target="https://drive.google.com/file/d/1jb0k6kk1jv0jIC8ldePJatAcKNL1vrsU/view?usp=sharing"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TotalTime>
  <Pages>10</Pages>
  <Words>3325</Words>
  <Characters>18959</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Lynn Wilson</dc:creator>
  <cp:keywords/>
  <dc:description/>
  <cp:lastModifiedBy>Lynn Wilson</cp:lastModifiedBy>
  <cp:revision>5</cp:revision>
  <dcterms:created xsi:type="dcterms:W3CDTF">2021-04-20T14:34:00Z</dcterms:created>
  <dcterms:modified xsi:type="dcterms:W3CDTF">2021-04-21T10:16:00Z</dcterms:modified>
</cp:coreProperties>
</file>