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1F43C80" w14:textId="77777777" w:rsidR="005E1632" w:rsidRDefault="005E1632" w:rsidP="005E1632">
      <w:pPr>
        <w:pStyle w:val="Title"/>
      </w:pPr>
      <w:bookmarkStart w:id="0" w:name="_GoBack"/>
      <w:bookmarkEnd w:id="0"/>
      <w:r>
        <w:t>The Journal of Inclusive Practice in Further and Higher Education 12:1 December 2020</w:t>
      </w:r>
    </w:p>
    <w:p w14:paraId="11C1B5BB" w14:textId="77777777" w:rsidR="005E1632" w:rsidRDefault="005E1632" w:rsidP="005E1632"/>
    <w:p w14:paraId="4F65761E" w14:textId="77777777" w:rsidR="005E1632" w:rsidRDefault="005E1632" w:rsidP="005E1632">
      <w:pPr>
        <w:rPr>
          <w:sz w:val="36"/>
          <w:szCs w:val="36"/>
        </w:rPr>
      </w:pPr>
      <w:r>
        <w:rPr>
          <w:sz w:val="36"/>
          <w:szCs w:val="36"/>
        </w:rPr>
        <w:t>Edition produced by NADP with Paddy Turner as editor</w:t>
      </w:r>
    </w:p>
    <w:p w14:paraId="02713839" w14:textId="77777777" w:rsidR="005E1632" w:rsidRDefault="005E1632" w:rsidP="005E1632">
      <w:pPr>
        <w:pStyle w:val="Heading1"/>
        <w:spacing w:before="0" w:after="120"/>
      </w:pPr>
    </w:p>
    <w:p w14:paraId="4C8687CC" w14:textId="67D211A2" w:rsidR="005E1632" w:rsidRDefault="005E1632" w:rsidP="005E1632">
      <w:pPr>
        <w:pStyle w:val="Heading1"/>
        <w:spacing w:before="0" w:after="120"/>
        <w:rPr>
          <w:rFonts w:cstheme="majorHAnsi"/>
        </w:rPr>
      </w:pPr>
      <w:r>
        <w:rPr>
          <w:rFonts w:cstheme="majorHAnsi"/>
        </w:rPr>
        <w:t xml:space="preserve">Article 5: DSA support for disabled students in higher education in UK: the contribution of specialist mentoring. (Research Series: part 2 of 6) </w:t>
      </w:r>
      <w:r>
        <w:rPr>
          <w:rFonts w:cstheme="majorHAnsi"/>
        </w:rPr>
        <w:br/>
        <w:t>Author: Dr Jan Adams</w:t>
      </w:r>
    </w:p>
    <w:p w14:paraId="60147394" w14:textId="77777777" w:rsidR="005E1632" w:rsidRPr="00B84BEA" w:rsidRDefault="005E1632" w:rsidP="005E1632">
      <w:pPr>
        <w:rPr>
          <w:rFonts w:cstheme="majorHAnsi"/>
          <w:sz w:val="32"/>
          <w:szCs w:val="32"/>
          <w:lang w:eastAsia="en-GB"/>
        </w:rPr>
      </w:pPr>
      <w:r w:rsidRPr="00B84BEA">
        <w:rPr>
          <w:sz w:val="32"/>
          <w:szCs w:val="32"/>
        </w:rPr>
        <w:t>Department of Psychology, Edge Hill University, Ormskirk</w:t>
      </w:r>
    </w:p>
    <w:p w14:paraId="0BA2D6C6" w14:textId="51F247DA" w:rsidR="005E1632" w:rsidRDefault="005E1632" w:rsidP="005E1632">
      <w:pPr>
        <w:pStyle w:val="Heading2"/>
        <w:spacing w:before="0" w:after="120" w:line="360" w:lineRule="auto"/>
      </w:pPr>
    </w:p>
    <w:p w14:paraId="6DD45A17" w14:textId="77777777" w:rsidR="005E1632" w:rsidRPr="00142164" w:rsidRDefault="005E1632" w:rsidP="005E1632">
      <w:pPr>
        <w:rPr>
          <w:lang w:val="en-GB" w:eastAsia="en-GB"/>
        </w:rPr>
      </w:pPr>
      <w:r w:rsidRPr="00142164">
        <w:rPr>
          <w:lang w:val="en-GB" w:eastAsia="en-GB"/>
        </w:rPr>
        <w:t xml:space="preserve">Key words: Higher education, </w:t>
      </w:r>
      <w:r>
        <w:rPr>
          <w:lang w:val="en-GB" w:eastAsia="en-GB"/>
        </w:rPr>
        <w:t xml:space="preserve">specialist mentoring, </w:t>
      </w:r>
      <w:r w:rsidRPr="00142164">
        <w:rPr>
          <w:lang w:val="en-GB" w:eastAsia="en-GB"/>
        </w:rPr>
        <w:t>disability, inclusion, covid-19, mental health, autism.</w:t>
      </w:r>
    </w:p>
    <w:p w14:paraId="56BB6311" w14:textId="77777777" w:rsidR="005E1632" w:rsidRPr="005E1632" w:rsidRDefault="005E1632" w:rsidP="005E1632"/>
    <w:p w14:paraId="011633E3" w14:textId="03909626" w:rsidR="005E1632" w:rsidRDefault="005E1632" w:rsidP="005E1632">
      <w:pPr>
        <w:pStyle w:val="Heading2"/>
        <w:spacing w:before="0" w:line="360" w:lineRule="auto"/>
      </w:pPr>
      <w:r>
        <w:t>Introduction</w:t>
      </w:r>
    </w:p>
    <w:p w14:paraId="04C77B9F" w14:textId="12B3BA37" w:rsidR="00237C76" w:rsidRPr="005E1632" w:rsidRDefault="00237C76" w:rsidP="005E1632">
      <w:pPr>
        <w:rPr>
          <w:b/>
          <w:bCs/>
        </w:rPr>
      </w:pPr>
      <w:r w:rsidRPr="00142164">
        <w:t xml:space="preserve">According to the social model of disability, disabled students are at a disadvantage within higher education </w:t>
      </w:r>
      <w:r w:rsidR="005E1632">
        <w:t xml:space="preserve">when </w:t>
      </w:r>
      <w:r w:rsidRPr="00142164">
        <w:t>the</w:t>
      </w:r>
      <w:r w:rsidR="005E1632">
        <w:t xml:space="preserve"> </w:t>
      </w:r>
      <w:r w:rsidRPr="00142164">
        <w:t xml:space="preserve">systems and processes </w:t>
      </w:r>
      <w:r w:rsidR="005E1632">
        <w:t xml:space="preserve">fail </w:t>
      </w:r>
      <w:r w:rsidRPr="00142164">
        <w:t xml:space="preserve">to meet their needs.  Part 1 of this research DSA Series – 6, discussed the current provision of disability support in UK higher education, including Disabled Students Allowance (DSAs). Despite challenges in awareness, access and uptake of DSAs, it was highlighted the positive impact that such support has for many </w:t>
      </w:r>
      <w:r w:rsidRPr="00142164">
        <w:rPr>
          <w:color w:val="000000" w:themeColor="text1"/>
        </w:rPr>
        <w:t xml:space="preserve">disabled students. </w:t>
      </w:r>
      <w:r w:rsidRPr="00142164">
        <w:t xml:space="preserve">This is particularly important in light of the current </w:t>
      </w:r>
      <w:r w:rsidRPr="00237C76">
        <w:t>covid-19 global pandemic which is having a widespread and significant impact on students worldwide, and may disproportionately affect those with disabilities. Part 2 of the research DSA Series - 6, will now present a comprehensive discussion around the complex needs of disabled students, with three of the most commonly disclosed disabilities in higher education; mental health conditions, autism spectrum conditions and specific learning diff</w:t>
      </w:r>
      <w:r w:rsidR="005E1632">
        <w:t>erences</w:t>
      </w:r>
      <w:r w:rsidRPr="00237C76">
        <w:t xml:space="preserve"> (SpLD), as well as how these needs can be addressed by a specific aspect of DSA support available by </w:t>
      </w:r>
      <w:r w:rsidR="005E1632">
        <w:t>n</w:t>
      </w:r>
      <w:r w:rsidRPr="00237C76">
        <w:t xml:space="preserve">on-medical helpers, </w:t>
      </w:r>
      <w:r w:rsidR="0036074D">
        <w:t xml:space="preserve">namely </w:t>
      </w:r>
      <w:r w:rsidRPr="00237C76">
        <w:t xml:space="preserve">specialist </w:t>
      </w:r>
      <w:r w:rsidRPr="00237C76">
        <w:lastRenderedPageBreak/>
        <w:t>mentoring</w:t>
      </w:r>
      <w:r w:rsidR="0036074D">
        <w:t xml:space="preserve">. </w:t>
      </w:r>
      <w:r w:rsidRPr="00142164">
        <w:t>The aim here is to showcase the excellent person-centred support already being delivered, as well as highlighting some key areas where such support could be improved or better utilised. </w:t>
      </w:r>
    </w:p>
    <w:p w14:paraId="73DE3962" w14:textId="77777777" w:rsidR="00237C76" w:rsidRPr="00142164" w:rsidRDefault="00237C76" w:rsidP="00237C76">
      <w:pPr>
        <w:rPr>
          <w:rFonts w:ascii="Arial" w:eastAsia="Times New Roman" w:hAnsi="Arial" w:cs="Arial"/>
          <w:sz w:val="22"/>
          <w:szCs w:val="22"/>
        </w:rPr>
      </w:pPr>
    </w:p>
    <w:p w14:paraId="2F4C4E67" w14:textId="77777777" w:rsidR="00237C76" w:rsidRDefault="00237C76" w:rsidP="005E1632">
      <w:pPr>
        <w:pStyle w:val="Heading2"/>
      </w:pPr>
      <w:r w:rsidRPr="00142164">
        <w:t>Mental Health Conditions</w:t>
      </w:r>
      <w:r>
        <w:t xml:space="preserve"> </w:t>
      </w:r>
    </w:p>
    <w:p w14:paraId="4EB01B4F" w14:textId="77777777" w:rsidR="00237C76" w:rsidRPr="00836976" w:rsidRDefault="00237C76" w:rsidP="005E1632">
      <w:pPr>
        <w:pStyle w:val="Heading3"/>
      </w:pPr>
      <w:r w:rsidRPr="00836976">
        <w:t>MHC and Higher Education</w:t>
      </w:r>
    </w:p>
    <w:p w14:paraId="0D25F18D" w14:textId="77777777" w:rsidR="00237C76" w:rsidRPr="00142164" w:rsidRDefault="00237C76" w:rsidP="005E1632">
      <w:r w:rsidRPr="00142164">
        <w:t>The World Health Organization (WHO, 2004), defines mental health as “a state of well-being in which the individual realizes his or her own abilities, can cope with the normal stresses of life, can work productively and fruitfully, and is able to make a contribution to his or her community”. As well as the absence of mental illness, it is clear that an individual needs a decent quality of life, with adequate functioning, life satisfaction, and quality relationships for true mental wellbeing (Houlden, Weich &amp; Jarvis, 2017). </w:t>
      </w:r>
    </w:p>
    <w:p w14:paraId="08010C4D" w14:textId="77777777" w:rsidR="00237C76" w:rsidRPr="00142164" w:rsidRDefault="00237C76" w:rsidP="005E1632">
      <w:r w:rsidRPr="00142164">
        <w:t>Mental health conditions (MHCs) are associated with poorer educational outcomes; students with MHCs are less likely to enroll in further study, and for those that do, attrition rates may be enhanced (Auerbach et al., 2016). Salzer (2012) estimated that the withdrawal rate from university for those with a MHC is almost twice that of the general student population. According to Lipson and Eisenberg (2018), around a quarter of students with poor mental health are dissatisfied with their experience at university, compared to just a tenth of those without symptoms of a MHC. Despite often wanting to work, unemployment rates for those with MHCs is exceptionally high, in part due to stigma, as well as a lack of suitable vocational support programmes (Baron &amp; Salzer, 2002)</w:t>
      </w:r>
      <w:r>
        <w:t>,</w:t>
      </w:r>
      <w:r w:rsidRPr="00142164">
        <w:t xml:space="preserve"> so it is especially important that such individuals are supported to achieve their academic and professional goals, to enhance future job prospects and maximise employability. </w:t>
      </w:r>
    </w:p>
    <w:p w14:paraId="0DE80B1E" w14:textId="77777777" w:rsidR="00237C76" w:rsidRPr="00142164" w:rsidRDefault="00237C76" w:rsidP="005E1632">
      <w:r w:rsidRPr="00142164">
        <w:t xml:space="preserve">Self-report data have highlighted that over thirty percent of university students are at significant risk for suicidal behaviour (Akram et al., 2020); it is likely that the true value is even higher. According to HESA (2016, as cited in Lucas &amp; James, 2018) 1.7% of UK’s undergraduate students are diagnosed with an MHC. </w:t>
      </w:r>
    </w:p>
    <w:p w14:paraId="222DF5BD" w14:textId="77777777" w:rsidR="00237C76" w:rsidRPr="00142164" w:rsidRDefault="00237C76" w:rsidP="005E1632">
      <w:r w:rsidRPr="00142164">
        <w:t xml:space="preserve">Markoulakis and Kirsh (2013) highlighted a number of internal difficulties experienced by students with MHC, which affected students' physical, psychological and social well-being. For students with MHC, physical health may be generally poor, with students experiencing high degrees of fatigue and possible side effects related to medication. As a result, failure to access effective support for MHC students’ academic performance may suffer due to poor productivity, difficulties with concentration, attention and memory, and </w:t>
      </w:r>
      <w:r w:rsidRPr="00142164">
        <w:lastRenderedPageBreak/>
        <w:t>high instances of absence (Cook, 2007). Further research has also shown that poor mental health is associated with a lack of self-efficacy in completing academic work, which may contribute to heightened anxiety and poor coping styles such as avoidance and lack of help seeking (Grøtan, Sund &amp; Bjerkeset, 2019). </w:t>
      </w:r>
    </w:p>
    <w:p w14:paraId="26ED05FA" w14:textId="77777777" w:rsidR="00237C76" w:rsidRDefault="00237C76" w:rsidP="005E1632">
      <w:pPr>
        <w:pStyle w:val="Heading2"/>
      </w:pPr>
      <w:r w:rsidRPr="00142164">
        <w:t>Autism Spectrum Conditions</w:t>
      </w:r>
      <w:r>
        <w:t xml:space="preserve"> </w:t>
      </w:r>
    </w:p>
    <w:p w14:paraId="3ABB51B7" w14:textId="77777777" w:rsidR="00237C76" w:rsidRPr="00142164" w:rsidRDefault="00237C76" w:rsidP="005E1632">
      <w:pPr>
        <w:pStyle w:val="Heading3"/>
      </w:pPr>
      <w:r>
        <w:t>ASC</w:t>
      </w:r>
      <w:r w:rsidRPr="00142164">
        <w:t xml:space="preserve"> and Higher Education</w:t>
      </w:r>
    </w:p>
    <w:p w14:paraId="1FD666EA" w14:textId="77777777" w:rsidR="00237C76" w:rsidRPr="00142164" w:rsidRDefault="00237C76" w:rsidP="005E1632">
      <w:r w:rsidRPr="00142164">
        <w:rPr>
          <w:color w:val="000000" w:themeColor="text1"/>
        </w:rPr>
        <w:t xml:space="preserve">Autism spectrum conditions (ASC) </w:t>
      </w:r>
      <w:r w:rsidRPr="00142164">
        <w:t>are complex neurodevelopmental conditions characterised by significant impairments in communication, social interaction and repetitive, stereotyped patterns of behaviours (American Psychiatric Association, 2013). Level of severity is determined based on functioning within two domains (social and behavioural functioning) and scored across three levels, depending on levels of support required in each domain (American Psychiatric Association, 2013).</w:t>
      </w:r>
    </w:p>
    <w:p w14:paraId="78E1A66D" w14:textId="77777777" w:rsidR="00237C76" w:rsidRPr="00142164" w:rsidRDefault="00237C76" w:rsidP="005E1632">
      <w:r w:rsidRPr="00142164">
        <w:t xml:space="preserve">A diagnosis of ASC is associated with overall poorer quality of life and an increased likelihood of having a comorbid mental health condition (Mason et al., 2018). In addition, adults with ASC experience significant barriers to graduate employment (Vincent, 2020).  </w:t>
      </w:r>
      <w:r>
        <w:t xml:space="preserve">. </w:t>
      </w:r>
      <w:r w:rsidRPr="00142164">
        <w:t>Research suggests that the prevalence of students with ASC in UK institutions is at least 2.4% (Gurbuz et al., 2019). Despite significant numbers of students with ASC enrolling in higher education, these students face significant educational, as well as social challenges (Lucas &amp; James, 2018). According to Walsh et al. (2014) achieving a degree can increase the likelihood of ASC students going on to secure high quality employment. However, graduation rates remain relatively low (Anderson et al., 2017) and autistic students are more likely to drop out of university (Cage &amp; Howes, 2020). In light of this, it is essential that the needs of students with ASC are understood to maximise their chances of success within higher education.</w:t>
      </w:r>
    </w:p>
    <w:p w14:paraId="29618A46" w14:textId="77777777" w:rsidR="00237C76" w:rsidRPr="00142164" w:rsidRDefault="00237C76" w:rsidP="005E1632">
      <w:r w:rsidRPr="00142164">
        <w:t>At an educational level, ASC students can find crowded classes challenging and, may find it difficult to concentrate. Furthermore, difficulty navigating the university hierarchy, specifically between teaching and support staff, as well as the University’s unpredictable routine (e.g. staff and/or room changes) can trigger anxiety (Cai &amp; Richdale, 2016; Pinder-Amaker, 2014). Challenges with social interaction can limit ability to participate in group discussions or class presentations (Gobbo &amp; Shmulsky 2014).  Many students with ASC experience a lack of understanding and are heavily stigmatized by their neurotypical peers (Gillespie-Lynch et al., 2015). Socially, the above-mentioned difficulties can impact their broader university life, and particularly their capacity to develop friendships and romantic relationships (Mazurek, 2014).</w:t>
      </w:r>
    </w:p>
    <w:p w14:paraId="5E2A124D" w14:textId="3CA926C3" w:rsidR="00237C76" w:rsidRPr="00142164" w:rsidRDefault="00237C76" w:rsidP="005E1632">
      <w:r w:rsidRPr="00142164">
        <w:lastRenderedPageBreak/>
        <w:t>Focus groups of 23 students across several UK colleges and universities indicated that whilst students with ASC felt adequately supported from an educational perspective, social support was lacking; instead students relied heavily on parental support (Cai &amp; Richdale, 2016). Whilst students often found disability support staff to be helpful, access to services was often delayed until students presented at a crisis point.  Furthermore, teaching staff may</w:t>
      </w:r>
      <w:r w:rsidR="00D65316">
        <w:t xml:space="preserve"> </w:t>
      </w:r>
      <w:r w:rsidRPr="00142164">
        <w:t xml:space="preserve">lack knowledge and insight into the needs of students with ASC, with many reporting being unaware of whether students they teach had ASC (Zeedyk, Bolourian &amp; Blacher, 2019). </w:t>
      </w:r>
    </w:p>
    <w:p w14:paraId="7E70B1B4" w14:textId="77777777" w:rsidR="00237C76" w:rsidRPr="00142164" w:rsidRDefault="00237C76" w:rsidP="005E1632">
      <w:r w:rsidRPr="00142164">
        <w:t>Many students with ASC are academically gifted (Cain et al., 2019) and the passionate, focused interests of those with ASC could be channeled at university and often result in enhanced motivation for their subject and a drive to learn (Gobbo and Shmulsky, 2014)This highlights the importance of providing adequate support with the non-academic, as well as academic, challenges faced by students with ASC as it is clear that these individuals can be well suited to academic environments and have the potential to excel.  </w:t>
      </w:r>
    </w:p>
    <w:p w14:paraId="278E976D" w14:textId="259478C1" w:rsidR="00237C76" w:rsidRPr="005E1632" w:rsidRDefault="00237C76" w:rsidP="005E1632">
      <w:pPr>
        <w:pStyle w:val="Heading2"/>
        <w:rPr>
          <w:rFonts w:cstheme="minorBidi"/>
          <w:szCs w:val="24"/>
        </w:rPr>
      </w:pPr>
      <w:r w:rsidRPr="00142164">
        <w:t>Specific Learning Difference (SpLD)</w:t>
      </w:r>
    </w:p>
    <w:p w14:paraId="463B46B5" w14:textId="77777777" w:rsidR="00237C76" w:rsidRPr="00142164" w:rsidRDefault="00237C76" w:rsidP="005E1632">
      <w:pPr>
        <w:pStyle w:val="Heading3"/>
      </w:pPr>
      <w:r w:rsidRPr="00142164">
        <w:t>SpLD and Higher Education</w:t>
      </w:r>
    </w:p>
    <w:p w14:paraId="066FDF92" w14:textId="77777777" w:rsidR="00237C76" w:rsidRPr="00142164" w:rsidRDefault="00237C76" w:rsidP="005E1632">
      <w:r w:rsidRPr="00142164">
        <w:t>The umbrella term, Specific Learning Difference (SpLD) encapsulates a number of learning differences including dyslexia (difficulty with reading and spelling), dysgraphia (writing difficulties), dyscalculia (difficulties with numbers and arithmetic), and dyspraxia (a disorder of movement and coordination) which can all impact individual’s experiences in higher education and present a number of challenges (Rowlands et al., 2013). </w:t>
      </w:r>
    </w:p>
    <w:p w14:paraId="1EFEF62E" w14:textId="77777777" w:rsidR="00237C76" w:rsidRPr="00142164" w:rsidRDefault="00237C76" w:rsidP="005E1632">
      <w:r w:rsidRPr="00142164">
        <w:t xml:space="preserve">In 2017/2018, SpLD was the most commonly reported type of disability. Nonetheless, students with SpLD are significantly disadvantaged within higher education compared to non-disabled peers and are less likely to complete their studies (Richardson and Wydell, 2003). Those who do manage to continue studying are more likely to achieve lower grades and lower pass rates (Richardson, 2010). Students with SpLD report difficulties across most areas of university, and particularly around difficulties note taking, reading academic texts and issues with technology (MacCullagh </w:t>
      </w:r>
      <w:r w:rsidRPr="004930F3">
        <w:rPr>
          <w:i/>
          <w:iCs/>
        </w:rPr>
        <w:t>et al.,</w:t>
      </w:r>
      <w:r w:rsidRPr="00142164">
        <w:t xml:space="preserve"> 2017). Furthermore, the authors noted that students were not always satisfied with the adjustments and support received. For example, some students waited a long time for the support to be implemented, whilst others found adjustments did not meet their needs; extra time in examinations was unhelpful for students who struggled with fatigue. In addition, students with SpLD often cite challenges such as the speed of delivery, readability of slides and lack of interaction as </w:t>
      </w:r>
      <w:r w:rsidRPr="00142164">
        <w:lastRenderedPageBreak/>
        <w:t xml:space="preserve">barriers during lectures, and need to spend more time studying outside of lectures than students without SpLD (Nightingale </w:t>
      </w:r>
      <w:r w:rsidRPr="004930F3">
        <w:rPr>
          <w:i/>
          <w:iCs/>
        </w:rPr>
        <w:t>et al.,</w:t>
      </w:r>
      <w:r w:rsidRPr="00142164">
        <w:t xml:space="preserve"> 2019). </w:t>
      </w:r>
    </w:p>
    <w:p w14:paraId="77278EBE" w14:textId="77777777" w:rsidR="00237C76" w:rsidRPr="00142164" w:rsidRDefault="00237C76" w:rsidP="005E1632">
      <w:r w:rsidRPr="00142164">
        <w:t>Similarly, those with a history of negative experiences due to SpLD often avoid disclosure and report fear over being seen to be manipulating or exploiting the system to gain an advantage (Mortimore, 2013). As a result they may struggle without support or reasonable adjustments leading to a loss of confidence and self-esteem (Riddick, 2010). </w:t>
      </w:r>
    </w:p>
    <w:p w14:paraId="537A0768" w14:textId="77777777" w:rsidR="00237C76" w:rsidRPr="00142164" w:rsidRDefault="00237C76" w:rsidP="005E1632">
      <w:r w:rsidRPr="00142164">
        <w:t xml:space="preserve">Argue that inclusive practices in HE, such as providing explicit instructions, flexible approaches to teaching and learning and optimising use of digital technologies reduce the need for additional support, and may eventually remove the need for disclosures at all (Clouder </w:t>
      </w:r>
      <w:r w:rsidRPr="004930F3">
        <w:rPr>
          <w:i/>
          <w:iCs/>
        </w:rPr>
        <w:t>et al</w:t>
      </w:r>
      <w:r w:rsidRPr="00142164">
        <w:t>., 2020). However, at present, additional one-to-one support is still available through DSA to assist students with SpLD who are disadvantaged in their studies.</w:t>
      </w:r>
    </w:p>
    <w:p w14:paraId="06A8A60D" w14:textId="77777777" w:rsidR="00237C76" w:rsidRPr="00142164" w:rsidRDefault="00237C76" w:rsidP="004930F3">
      <w:pPr>
        <w:pStyle w:val="Heading2"/>
      </w:pPr>
      <w:r w:rsidRPr="00142164">
        <w:t>Provision of support for disabled students by non-medical helpers </w:t>
      </w:r>
    </w:p>
    <w:p w14:paraId="33BDF1CB" w14:textId="05950B0E" w:rsidR="00237C76" w:rsidRPr="00142164" w:rsidRDefault="00237C76" w:rsidP="004930F3">
      <w:r w:rsidRPr="00142164">
        <w:t xml:space="preserve">The following section provides an overview of </w:t>
      </w:r>
      <w:r w:rsidR="0036074D">
        <w:t>one of the</w:t>
      </w:r>
      <w:r w:rsidRPr="00142164">
        <w:t xml:space="preserve"> main types of specialist DSA support delivered by non-medical helpers for students with MHC, ASC and SpLD; specialist mentoring</w:t>
      </w:r>
      <w:r w:rsidR="0036074D">
        <w:t>.</w:t>
      </w:r>
    </w:p>
    <w:p w14:paraId="103135C7" w14:textId="326A43A4" w:rsidR="00237C76" w:rsidRPr="00142164" w:rsidRDefault="00237C76" w:rsidP="004930F3">
      <w:pPr>
        <w:pStyle w:val="Heading3"/>
      </w:pPr>
      <w:r w:rsidRPr="00142164">
        <w:t>Specialist mentoring</w:t>
      </w:r>
    </w:p>
    <w:p w14:paraId="62F27923" w14:textId="77777777" w:rsidR="00237C76" w:rsidRPr="00142164" w:rsidRDefault="00237C76" w:rsidP="004930F3">
      <w:r w:rsidRPr="00142164">
        <w:t>A specialist mentor is a professional who provides highly specialist, individually tailored, one to one support which helps students address the barriers to learning created by a particular disability. At present, specialist mentoring is available for mental health or autism spectrum conditions. Support will typically assist students in developing new skills and strategies and is underpinned by the mentor's specialist knowledge of the impact the individual's specific condition may have on them. Areas for development may include goal setting and motivation, organisation and time management skills, identifying and managing triggers and developing appropriate coping skills to manage stress, low mood and anxiety</w:t>
      </w:r>
      <w:r>
        <w:t xml:space="preserve"> </w:t>
      </w:r>
      <w:r w:rsidRPr="00142164">
        <w:t>(DSA-QAG, 2017</w:t>
      </w:r>
      <w:r>
        <w:t>)</w:t>
      </w:r>
      <w:r w:rsidRPr="00142164">
        <w:t xml:space="preserve">. </w:t>
      </w:r>
    </w:p>
    <w:p w14:paraId="1D08DA98" w14:textId="77777777" w:rsidR="00237C76" w:rsidRPr="00142164" w:rsidRDefault="00237C76" w:rsidP="004930F3">
      <w:r w:rsidRPr="00142164">
        <w:t xml:space="preserve">In the UK, the DSA suggest professionals meet certain criterion to deliver band 4, Specialist Mentoring. For mental-health mentoring, a list of 15 professional memberships is outlined, with a requirement that specialist mentors have attained at least one. The most popular of which, (but not limited to) are a chartered membership of the British Psychological Society (MBPsS), being part of the General Medical Council (GMC) or Health and Care Professions Council (HCPC), or a British Association of Counselling and Psychotherapy (BACP) membership. For the mentoring of autistic students, a relevant undergraduate degree and comprehensive training in adult autism is accepted as a requirement for the role (Department for Education, 2019). </w:t>
      </w:r>
    </w:p>
    <w:p w14:paraId="5A5E8569" w14:textId="77777777" w:rsidR="00237C76" w:rsidRDefault="00237C76" w:rsidP="004930F3">
      <w:pPr>
        <w:pStyle w:val="Heading3"/>
      </w:pPr>
      <w:r w:rsidRPr="00142164">
        <w:lastRenderedPageBreak/>
        <w:t>Impact of DSA Specialist mentoring</w:t>
      </w:r>
    </w:p>
    <w:p w14:paraId="49A78145" w14:textId="13350419" w:rsidR="00237C76" w:rsidRPr="00142164" w:rsidRDefault="00237C76" w:rsidP="00237C76">
      <w:pPr>
        <w:rPr>
          <w:rFonts w:ascii="Arial" w:eastAsia="Times New Roman" w:hAnsi="Arial" w:cs="Arial"/>
          <w:sz w:val="22"/>
          <w:szCs w:val="22"/>
        </w:rPr>
      </w:pPr>
      <w:r w:rsidRPr="00142164">
        <w:t xml:space="preserve">The assertion that mentoring might benefit disabled students is not a new idea. However, the available evidence suggests that this support can be highly beneficial, particularly for those with ASC and mental health conditions (Siew et al., 2017; Lucas &amp; James, 2018). Bowers et al, (1995) first found that youths with disabilities who took part in a mentoring program reported higher levels of confidence and self-efficacy. Two decades later, Ames and colleagues (2015) conducted an evaluation study of the Autism Mentorship Program at York University. They found that students </w:t>
      </w:r>
      <w:r w:rsidRPr="00237C76">
        <w:rPr>
          <w:color w:val="000000" w:themeColor="text1"/>
        </w:rPr>
        <w:t xml:space="preserve">with ASC </w:t>
      </w:r>
      <w:r w:rsidRPr="00142164">
        <w:t>who were involved in the program improved their social skills, and appeared less concerned about their mental health. The vast majority of the students reported high rates of satisfaction with the program.</w:t>
      </w:r>
    </w:p>
    <w:p w14:paraId="3A170930" w14:textId="77777777" w:rsidR="00237C76" w:rsidRPr="00142164" w:rsidRDefault="00237C76" w:rsidP="004930F3">
      <w:pPr>
        <w:pStyle w:val="Heading3"/>
      </w:pPr>
      <w:r w:rsidRPr="00142164">
        <w:t>What makes specialist mentoring effective?</w:t>
      </w:r>
    </w:p>
    <w:p w14:paraId="3BF6B0EB" w14:textId="7AFA88DD" w:rsidR="00237C76" w:rsidRPr="004930F3" w:rsidRDefault="00237C76" w:rsidP="004930F3">
      <w:pPr>
        <w:rPr>
          <w:rFonts w:ascii="Arial" w:hAnsi="Arial" w:cs="Arial"/>
          <w:sz w:val="22"/>
          <w:szCs w:val="22"/>
        </w:rPr>
      </w:pPr>
      <w:r w:rsidRPr="00142164">
        <w:t>More recently, researchers have set out to discover what makes mentoring so effective (Roberts &amp; Birmingham, 2017; Lucas &amp; James, 2018; Curtin et al., 2016; Siew et al., 2017). Lucas and James (2018) found that mentees with ASC experienced social, emotional and academic support from their mentors and were satisfied with the support received. The factors highlighted here which make specialist mentoring so beneficial for students within the following areas explains further; role modelling, mentee-centred support, promoting mental and emotional wellbeing, developing social skills, academic support, executive functioning, goal setting and the mentor-mentee relationship.</w:t>
      </w:r>
    </w:p>
    <w:p w14:paraId="232A00DC" w14:textId="47DD250F" w:rsidR="00237C76" w:rsidRPr="00142164" w:rsidRDefault="00237C76" w:rsidP="004930F3">
      <w:pPr>
        <w:pStyle w:val="Heading3"/>
      </w:pPr>
      <w:r w:rsidRPr="00142164">
        <w:t>Role Modelling</w:t>
      </w:r>
    </w:p>
    <w:p w14:paraId="62CCB12C" w14:textId="14B8DC39" w:rsidR="00237C76" w:rsidRPr="00142164" w:rsidRDefault="00237C76" w:rsidP="004930F3">
      <w:r w:rsidRPr="00142164">
        <w:t>Specialist mentors generally have significant skills and experience working with the individual's specific impairment or condition, are educated to at least degree level, with many having undergone extensive further study. As a result, there is much opportunity for role modelling and mentors can be a source of inspiration for students (Nora &amp; Crisp, 2007). . They offer guidance rather than direction or instruction. As a result, mentors are more</w:t>
      </w:r>
      <w:r w:rsidR="00D65316">
        <w:t xml:space="preserve"> </w:t>
      </w:r>
      <w:r w:rsidRPr="00142164">
        <w:t>accessible to students and may appear less intimidating than teaching staff as they are not involved in the assessment and marking process.</w:t>
      </w:r>
    </w:p>
    <w:p w14:paraId="1782B281" w14:textId="1FFFFF6E" w:rsidR="00237C76" w:rsidRPr="00142164" w:rsidRDefault="00237C76" w:rsidP="004930F3">
      <w:pPr>
        <w:pStyle w:val="Heading3"/>
      </w:pPr>
      <w:r w:rsidRPr="00142164">
        <w:t>Mentee-centred support</w:t>
      </w:r>
    </w:p>
    <w:p w14:paraId="3D65072C" w14:textId="0BBD0D86" w:rsidR="00237C76" w:rsidRPr="00142164" w:rsidRDefault="00237C76" w:rsidP="004930F3">
      <w:r w:rsidRPr="00142164">
        <w:t>By exploring the experiences of mentors and mentees, Roberts and Birmingham (2017) developed a conceptual framework, namely the “mentee-centred approach” that is comprised by five main themes: The Natural Progression of the Relationship; The Supportive Mentor; The Meeting Process; Identifying and Implementing Goals; and Learning Together (Roberts &amp; Birmingham, 2017).</w:t>
      </w:r>
      <w:r w:rsidRPr="00142164">
        <w:tab/>
      </w:r>
    </w:p>
    <w:p w14:paraId="67D0F76D" w14:textId="77777777" w:rsidR="00237C76" w:rsidRPr="00142164" w:rsidRDefault="00237C76" w:rsidP="004930F3">
      <w:r w:rsidRPr="00142164">
        <w:lastRenderedPageBreak/>
        <w:t xml:space="preserve">This in line with the current view-point, that a person-centred approach to care planning is best practice in supporting </w:t>
      </w:r>
      <w:r w:rsidRPr="00142164">
        <w:rPr>
          <w:color w:val="000000" w:themeColor="text1"/>
        </w:rPr>
        <w:t xml:space="preserve">individuals with disabilities such as ASC </w:t>
      </w:r>
      <w:r w:rsidRPr="00142164">
        <w:t xml:space="preserve">(Hillier et al., 2018). This ability to focus on students as unique individuals with their own needs, wants, personal preferences, strengths and challenges is at the heart of our work as specialist mentors. For example, some students may prefer a mentor who challenges them, whilst others may prefer a gentler approach. No student </w:t>
      </w:r>
      <w:r w:rsidRPr="00237C76">
        <w:rPr>
          <w:color w:val="000000" w:themeColor="text1"/>
        </w:rPr>
        <w:t xml:space="preserve">with ASC is the same and support must be tailored to each individual. Similarly, feedback following a support group programme for students with ASC </w:t>
      </w:r>
      <w:r w:rsidRPr="00142164">
        <w:t xml:space="preserve">suggested that students valued flexibility and wanted to tailor peer mentoring sessions to their own needs and interests (Hillier et al., 2018). </w:t>
      </w:r>
    </w:p>
    <w:p w14:paraId="60320D6A" w14:textId="5231FC01" w:rsidR="00237C76" w:rsidRPr="00142164" w:rsidRDefault="00237C76" w:rsidP="004930F3">
      <w:pPr>
        <w:pStyle w:val="Heading3"/>
      </w:pPr>
      <w:r w:rsidRPr="00142164">
        <w:t>Mental and emotional wellbeing</w:t>
      </w:r>
    </w:p>
    <w:p w14:paraId="664F0964" w14:textId="77777777" w:rsidR="00237C76" w:rsidRPr="00142164" w:rsidRDefault="00237C76" w:rsidP="004930F3">
      <w:r w:rsidRPr="00142164">
        <w:t>A key benefit of specialist mentoring is that it promotes positive mental and emotional wellbeing. This was demonstrated via a specialist mentoring programme for students with ASC which helped students to develop their confidence, feel supported and better manage low mood, stress and anxiety (Lucas &amp; James, 2018). However, it is worth noting that students found completion of the programme itself stressful so more research may be needed to more fully understand the needs of ASC students struggling with stress or associated mental health difficulties.  </w:t>
      </w:r>
    </w:p>
    <w:p w14:paraId="7C72FD99" w14:textId="288A1C7A" w:rsidR="00237C76" w:rsidRPr="00142164" w:rsidRDefault="00237C76" w:rsidP="004930F3">
      <w:r w:rsidRPr="00142164">
        <w:t>Mentor</w:t>
      </w:r>
      <w:r w:rsidR="00D65316">
        <w:t xml:space="preserve">ing can serve as a preventative </w:t>
      </w:r>
      <w:r w:rsidRPr="00142164">
        <w:t xml:space="preserve">strategy, helping students to develop resilience and coping skills before their ability to cope is impaired. There is an issue at present with university counselling services being overwhelmed with students in a state of crisis, unable to manage their rapidly declining mental health (Broglia, Millings &amp; Barkham, 2018). This suggests that support is not in place early enough for many students. Making specialist mentoring more widely available and easier to access could act as a safety net to catch vulnerable students improving their university experience and easing pressure on university counselling services. Lucas and James sum up the impact of mentoring with the following quote; “Mentors acted as </w:t>
      </w:r>
      <w:r w:rsidRPr="00142164">
        <w:rPr>
          <w:i/>
          <w:iCs/>
        </w:rPr>
        <w:t>bridges</w:t>
      </w:r>
      <w:r w:rsidRPr="00142164">
        <w:t xml:space="preserve"> helping students to find ways to tailor the university environment for their needs and to learn strategies to work well within it.” (2018, p.704). In this way, mentoring is a partnership which empowers students to take action for themselves, building confidence and self-esteem.</w:t>
      </w:r>
    </w:p>
    <w:p w14:paraId="29528780" w14:textId="77777777" w:rsidR="00237C76" w:rsidRPr="00142164" w:rsidRDefault="00237C76" w:rsidP="004930F3">
      <w:pPr>
        <w:pStyle w:val="Heading3"/>
      </w:pPr>
      <w:r w:rsidRPr="00142164">
        <w:t>Social support</w:t>
      </w:r>
    </w:p>
    <w:p w14:paraId="4A369DE5" w14:textId="175CD111" w:rsidR="00237C76" w:rsidRPr="00142164" w:rsidRDefault="00237C76" w:rsidP="004930F3">
      <w:r w:rsidRPr="00142164">
        <w:t>Students with ASC typically have more difficulty asking for help than their neurotypical peers (Fleischer, 2012). Through a specialist mentoring programme, Siew et al. (2017) found that some studen</w:t>
      </w:r>
      <w:r w:rsidRPr="00142164">
        <w:rPr>
          <w:color w:val="000000" w:themeColor="text1"/>
        </w:rPr>
        <w:t xml:space="preserve">ts with ASC </w:t>
      </w:r>
      <w:r w:rsidRPr="00142164">
        <w:t xml:space="preserve">found mentoring helpful for planning and practicing communication, resulting in less </w:t>
      </w:r>
      <w:r w:rsidRPr="00142164">
        <w:lastRenderedPageBreak/>
        <w:t xml:space="preserve">communication apprehension. For example, students were able to consider and prepare for the experience of requesting an extension or speaking to support staff about their needs, thus facilitating these encounters. The authors argue that improvements in communication skills, as well as reduced anxiety around social situations may improve retention rates as students will feel better able to express their needs and seek support. </w:t>
      </w:r>
    </w:p>
    <w:p w14:paraId="384B26D3" w14:textId="6BD20D5B" w:rsidR="00237C76" w:rsidRPr="00142164" w:rsidRDefault="00237C76" w:rsidP="004930F3">
      <w:pPr>
        <w:pStyle w:val="Heading3"/>
      </w:pPr>
      <w:r w:rsidRPr="00142164">
        <w:t> Academic skills</w:t>
      </w:r>
    </w:p>
    <w:p w14:paraId="1BDE44AE" w14:textId="77777777" w:rsidR="00237C76" w:rsidRPr="00142164" w:rsidRDefault="00237C76" w:rsidP="004930F3">
      <w:r w:rsidRPr="00142164">
        <w:t>Specialist mentors do not deliver academic content to mentees and they will often have very different academic backgrounds to each other. Instead, mentors support students with ASC with more general academic skills such as prioritizing workload and meeting deadlines (Roberts &amp; Birmingham, 2017). Although working on academic knowledge and understanding is not a core focus of specialist mentoring, some students do find that their understanding and academic ability improves as a result of working with their mentors regardless (Siew et al., 2017). This, again, supports the view that students with ASC can flourish in higher education if given appropriate support targeted to their individual needs.</w:t>
      </w:r>
    </w:p>
    <w:p w14:paraId="733836FD" w14:textId="74575FDB" w:rsidR="00237C76" w:rsidRPr="00142164" w:rsidRDefault="00237C76" w:rsidP="004930F3">
      <w:pPr>
        <w:pStyle w:val="Heading3"/>
      </w:pPr>
      <w:r w:rsidRPr="00142164">
        <w:rPr>
          <w:color w:val="000000" w:themeColor="text1"/>
        </w:rPr>
        <w:t> </w:t>
      </w:r>
      <w:r w:rsidRPr="00142164">
        <w:t>Executive Functioning</w:t>
      </w:r>
    </w:p>
    <w:p w14:paraId="4BE23724" w14:textId="570558CE" w:rsidR="00237C76" w:rsidRPr="00142164" w:rsidRDefault="00237C76" w:rsidP="004930F3">
      <w:r w:rsidRPr="00142164">
        <w:t xml:space="preserve"> As discussed above, students </w:t>
      </w:r>
      <w:r w:rsidRPr="00142164">
        <w:rPr>
          <w:color w:val="000000" w:themeColor="text1"/>
        </w:rPr>
        <w:t xml:space="preserve">with ASC </w:t>
      </w:r>
      <w:r w:rsidRPr="00142164">
        <w:t>often face difficulties with executive functioning which can pose a challenge whilst navigating the demands of higher education (Gurbuz, Hanley &amp; Riby, 2019). The ability to switch between tasks, the need to hold several pieces of information in memory at a time, and managing a busy schedule are just some of the challenges students with either ASC or MHCs may have difficulty with. Specialist mentoring targets these areas specifically, helping students to manage and overcome them.</w:t>
      </w:r>
    </w:p>
    <w:p w14:paraId="481CC872" w14:textId="77777777" w:rsidR="00237C76" w:rsidRPr="00142164" w:rsidRDefault="00237C76" w:rsidP="004930F3">
      <w:r w:rsidRPr="00142164">
        <w:t xml:space="preserve">Whilst there is little to no research into the types of intervention effective for supporting executive functioning in this setting, specialist mentors, again, take a mentee-centred approach to this, utilizing a variety of tools, techniques and resources depending on the individual. For example, mentors may encourage students to plan time for tasks in advance and support them to conduct short behavioural experiments, feeding back to their mentor on whether their estimations of time were accurate or not. They may encourage the use of technology to assist students, such as alarm clocks or electronic planners and organisers. Mentors aim to empower students to expand their support network and reach out to ask for further support or appropriate accommodations. </w:t>
      </w:r>
    </w:p>
    <w:p w14:paraId="7CF9470C" w14:textId="7BE2CC06" w:rsidR="00237C76" w:rsidRPr="00142164" w:rsidRDefault="00237C76" w:rsidP="004930F3">
      <w:pPr>
        <w:pStyle w:val="Heading3"/>
      </w:pPr>
      <w:r w:rsidRPr="00142164">
        <w:lastRenderedPageBreak/>
        <w:t>Goal setting</w:t>
      </w:r>
    </w:p>
    <w:p w14:paraId="45ABCD17" w14:textId="77777777" w:rsidR="00237C76" w:rsidRPr="00142164" w:rsidRDefault="00237C76" w:rsidP="004930F3">
      <w:r w:rsidRPr="00142164">
        <w:t>Setting goals is a major focus of specialist mentoring and may refer to academic goals, career goals and future planning, as well as social goals and goals related to physical health and wellness (Giust &amp; Valle-Riestra, 2017). A key finding from the evaluation of the Autism Mentorship Program at York University was that this mentoring programme was highly effective at helping students to achieve their goals (Ames et al., 2015).  Again this process is led by the mentee but mentors will generally encourage regular goal setting, integrating theory and practice recommendations from the psychology literature to maximize student’s ability to achieve these goals.</w:t>
      </w:r>
    </w:p>
    <w:p w14:paraId="180F7A29" w14:textId="7309C3A3" w:rsidR="00237C76" w:rsidRPr="00142164" w:rsidRDefault="00237C76" w:rsidP="004930F3">
      <w:r w:rsidRPr="00142164">
        <w:t xml:space="preserve">Under DSA, mentors are required to produce an agreed support plan, known under a variety of terms such as Independent Learner Support Plan (ILP). This is a useful technique for encouraging structured target setting and helping students to monitor their own progress in relation to their own goals and targets. An ILP should be completed at the start of each new term between the mentor and student. Targets are set and measured throughout the term, with a full evaluation done at the end of the term, or final mentoring session if otherwise. These targets are specifically tailored towards the student’s needs and should be built around the information provided in the needs assessor’s report, if this has been made available to mentors. The ILP should detail the areas where the student struggles due to </w:t>
      </w:r>
      <w:r w:rsidRPr="00237C76">
        <w:rPr>
          <w:color w:val="000000" w:themeColor="text1"/>
        </w:rPr>
        <w:t xml:space="preserve">their ASC and </w:t>
      </w:r>
      <w:r w:rsidRPr="00142164">
        <w:t>any associated conditions. Regular reference to these in sessions is important, as it allows the student to keep in mind what targets were initially set, and how they can ensure consistent progression is maintained.  </w:t>
      </w:r>
      <w:r w:rsidRPr="00142164">
        <w:tab/>
        <w:t> </w:t>
      </w:r>
    </w:p>
    <w:p w14:paraId="24CE32FD" w14:textId="77777777" w:rsidR="00237C76" w:rsidRPr="00142164" w:rsidRDefault="00237C76" w:rsidP="004930F3">
      <w:pPr>
        <w:pStyle w:val="Heading3"/>
      </w:pPr>
      <w:r w:rsidRPr="00142164">
        <w:t>The mentor-mentee relationship</w:t>
      </w:r>
    </w:p>
    <w:p w14:paraId="727E85E3" w14:textId="77777777" w:rsidR="00237C76" w:rsidRPr="00142164" w:rsidRDefault="00237C76" w:rsidP="004930F3">
      <w:r w:rsidRPr="00142164">
        <w:t>For autistic students, research has shown that this dyadic mentor-mentee relationship provides the opportunity for students to model social communication and develop self-advocacy skills (Thompson et al., 2020).</w:t>
      </w:r>
    </w:p>
    <w:p w14:paraId="7D51DEC3" w14:textId="58A32A0B" w:rsidR="00237C76" w:rsidRPr="00142164" w:rsidRDefault="00237C76" w:rsidP="004930F3">
      <w:r w:rsidRPr="00142164">
        <w:t> Aside from building key skills, the mentor-mentee relationship itself appears to be a key factor in the mentoring process (Huskins et al., 2011; Roberts &amp; Birmingham, 2017). Lukas and James (2018) found the quality of the relationship between mentors and mentees to be the greatest predictor of mentees satisfaction with their mentoring. Mentees described the relationship with their mentor as a “friend-like partnership” rather than that of a teacher or counsellor, explaining that their mentors act as “bridges helping students to find ways to tailor the university environment for their needs and to learn strategies to work well within it” (Lukas &amp; James, 2018, p. 704).</w:t>
      </w:r>
    </w:p>
    <w:p w14:paraId="3658F71F" w14:textId="77777777" w:rsidR="00237C76" w:rsidRPr="00142164" w:rsidRDefault="00237C76" w:rsidP="004930F3">
      <w:r w:rsidRPr="00142164">
        <w:lastRenderedPageBreak/>
        <w:t>A further point raised in this review was that students found the distance between their mentor and the university teaching staff or disability teams beneficial; the independent nature of specialist mentoring support was empowering for students and helped them to adapt their support to their own needs. For example, students may feel less embarrassed, defensive or uncomfortable sharing concerns about university services, or asking for help, when they have access to a mentor who works externally from the University and isn’t involved in assessing their academic performance.</w:t>
      </w:r>
    </w:p>
    <w:p w14:paraId="2D695E62" w14:textId="77777777" w:rsidR="00237C76" w:rsidRPr="00142164" w:rsidRDefault="00237C76" w:rsidP="004930F3">
      <w:r w:rsidRPr="00142164">
        <w:t>It is also important that mentors are proactive in setting and maintaining appropriate boundaries (Roberts &amp; Birmingham, 2017). In other words, the mentor has to help the mentee feel comfortable and safe enough to share their views, yet maintain professionalism. This friendly approach facilitates mentees’, personal, social and educational wellbeing (Curtin et al., 2016; Roberts &amp; Birmingham, 2017; Lucas &amp; James, 2018), and makes it easier for both parties to tailor support to the specific need of the mentee. The ultimate outcome of the mentee-centred approach is that both the mentor and the mentee are learning together in partnership; thus, it is a relationship that is mutually rewarding.</w:t>
      </w:r>
    </w:p>
    <w:p w14:paraId="1EFFAEF1" w14:textId="77777777" w:rsidR="00237C76" w:rsidRPr="00142164" w:rsidRDefault="00237C76" w:rsidP="004930F3">
      <w:r w:rsidRPr="00237C76">
        <w:rPr>
          <w:color w:val="000000" w:themeColor="text1"/>
        </w:rPr>
        <w:t>Savoji and Ganji (2013) report on a twelve-week life skills training programme delivered in weekly group sessions lasting two and a half hours each. Skills covered by the programme were broad and included self-awareness, decision making, problem-solving, creative thinking, critical thinking, interpersonal skills, emotion management, empathy, stress management and managing conflict. This training was shown to be beneficial for improving student mental health and improving student’s ability to cope with the unique challenges university poses. It is argued that, whilst typically less structured, specialist mentoring is a useful platform for delivering this style of intervention and is something that specialist mentors across the country are successfully facilitating with their mentees. As specialist mentoring is conducted one-to-one, students have greater opportunity to develop a strong therapeutic relationship with their mentor, as well as having much more time to focus on their own personal needs and development. Consequently, funding may be optimally spent investing in specialist mentoring to maximise provision for students experiencing or at risk of MHCs. Specialist mentors are in a unique position to be able to act as skilled listeners, model academic, social and emotional coping skills, and deliver personalised training in life skills to students with disabilities.</w:t>
      </w:r>
      <w:r w:rsidRPr="00142164">
        <w:rPr>
          <w:color w:val="000000" w:themeColor="text1"/>
        </w:rPr>
        <w:t>  </w:t>
      </w:r>
    </w:p>
    <w:p w14:paraId="7E0B9166" w14:textId="137A1DA7" w:rsidR="00237C76" w:rsidRPr="004930F3" w:rsidRDefault="00237C76" w:rsidP="004930F3">
      <w:pPr>
        <w:pStyle w:val="Heading2"/>
        <w:rPr>
          <w:rFonts w:cstheme="minorBidi"/>
          <w:szCs w:val="24"/>
        </w:rPr>
      </w:pPr>
      <w:r w:rsidRPr="00142164">
        <w:lastRenderedPageBreak/>
        <w:t>Challenges, limitations and future directions for Specialist Mentoring</w:t>
      </w:r>
    </w:p>
    <w:p w14:paraId="5954BCB4" w14:textId="60C1F1FD" w:rsidR="00237C76" w:rsidRPr="00142164" w:rsidRDefault="00237C76" w:rsidP="004930F3">
      <w:r w:rsidRPr="00142164">
        <w:t>With the aim of addressing challenges and limitations of support delivered by non-medical helpers, as well as considering directions for the future; it is anticipated that a high degree of similarity across these points for specialist mentoring, the term non-medical helper (NMH) is used interchangeably to refer to specialist mentors and study skills tutors, as well as other helpers such as note takers. </w:t>
      </w:r>
    </w:p>
    <w:p w14:paraId="4FA22587" w14:textId="323B7086" w:rsidR="00237C76" w:rsidRPr="00237C76" w:rsidRDefault="00237C76" w:rsidP="004930F3">
      <w:pPr>
        <w:rPr>
          <w:lang w:val="en-GB"/>
        </w:rPr>
      </w:pPr>
      <w:r w:rsidRPr="00142164">
        <w:t xml:space="preserve">Despite the clear benefits of specialist one-to-one support, it is important to consider the challenges and limitations associated with this approach as well. </w:t>
      </w:r>
      <w:r>
        <w:t>Some of those challenges and limitations have been addressed by the Research Autism Cygnet Mentoring project</w:t>
      </w:r>
      <w:r w:rsidRPr="00836976">
        <w:t xml:space="preserve"> (</w:t>
      </w:r>
      <w:r>
        <w:rPr>
          <w:lang w:val="en-GB"/>
        </w:rPr>
        <w:t>Dawkins et al., 2016). The project was a two-year pilot study, aiming to evaluate and develop a mentoring scheme for autistic people. Furthermore, the Research Autism Cygnet Mentoring project highlighted the absence of research evidence underpinning mentoring practice. The research emphasised the significance of mentors’ proper training; the need for adequate supervision; the need to maintain safe boundaries, as well as the need for flexibility in mentoring (Dawkins et al. 2016). According to Dawkins et al. (2016) offering mentoring without training and supervision can be harmful.</w:t>
      </w:r>
    </w:p>
    <w:p w14:paraId="33D6D747" w14:textId="77777777" w:rsidR="00237C76" w:rsidRPr="00142164" w:rsidRDefault="00237C76" w:rsidP="004930F3">
      <w:r w:rsidRPr="00142164">
        <w:t xml:space="preserve">Firstly, it is essential that NMHs have clear boundaries within their role. They are enlisted to help students recognise barriers to learning created by their impairment and support them in developing strategies to address these barriers, particularly at times of transition, such as starting at university or when planning to move on from it. NMHs should not act as advocates, counsellors or tutors. Whilst the majority likely </w:t>
      </w:r>
      <w:r w:rsidRPr="00142164">
        <w:rPr>
          <w:color w:val="000000" w:themeColor="text1"/>
        </w:rPr>
        <w:t>do</w:t>
      </w:r>
      <w:r w:rsidRPr="00142164">
        <w:t xml:space="preserve"> work in this way, at present, this is not routinely evaluated and there is little guidance available for determining best practice. </w:t>
      </w:r>
    </w:p>
    <w:p w14:paraId="26CDE5BC" w14:textId="77777777" w:rsidR="00237C76" w:rsidRPr="00142164" w:rsidRDefault="00237C76" w:rsidP="004930F3">
      <w:r w:rsidRPr="00142164">
        <w:t xml:space="preserve">DSA providers are required to record support uptake in terms of hours used across the academic year, and students are given opportunities to complete feedback forms at the end of the academic year. However, there are no standardised measurement tools or evaluation methods in place to explore whether the support delivered is effective at addressing the support needs outlined in the needs assessors report. Given the importance of the relationship, or working alliance, a failure to build a rapport is one of the most important challenges to notice and address (Roberts &amp; Birmingham, 2017). Although mentoring/tutoring and counselling are distinct from one another, we may benefit from turning to the counselling literature for direction in </w:t>
      </w:r>
      <w:r w:rsidRPr="00142164">
        <w:rPr>
          <w:color w:val="000000" w:themeColor="text1"/>
        </w:rPr>
        <w:t>optimising</w:t>
      </w:r>
      <w:r w:rsidRPr="00142164">
        <w:t xml:space="preserve"> the therapeutic relationship between helper and student. </w:t>
      </w:r>
    </w:p>
    <w:p w14:paraId="0E0D2072" w14:textId="623AFF20" w:rsidR="00237C76" w:rsidRPr="004930F3" w:rsidRDefault="00237C76" w:rsidP="00237C76">
      <w:r w:rsidRPr="00142164">
        <w:lastRenderedPageBreak/>
        <w:t>The working alliance in counselling and psychotherapy represents the quality of the relationship or bond, as well as the willingness and motivation to work together towards a common goal via agreed upon tasks (Bordin, 1979). It is well established that this is a significant driving force behind successful therapy and several measurement tools have been developed which can capture this effectively (Elvins &amp; Green, 2008). These tools could be applied to specialist mentoring or study skills both within empirical research projects, but also as a useful tool for helper and student to reflect on the quality of their alliance in a collaborative way. Of particular interest, may be the discrepancy (or lack of) between the helper and student ratings of the quality of this relationship (Ardito &amp; Rabellino, 2011).</w:t>
      </w:r>
      <w:r w:rsidRPr="00142164">
        <w:rPr>
          <w:rStyle w:val="CommentReference"/>
        </w:rPr>
        <w:t xml:space="preserve"> </w:t>
      </w:r>
      <w:r w:rsidRPr="004930F3">
        <w:t>For example, divergence in alliance ratings may suggest a lack of clarity or agreement about the nature and quality of the relationship, whereas convergence may suggest mutual understanding. Evidence from the psychotherapy literature suggests that convergence between client-therapist ratings of this alliance over the course of therapy predicts better therapeutic outcomes (Laws et al., 2017). A major benefit of applying this approach to mentoring is that it would aid quicker identification of issues within the relationship and encourage resolution where possible. Equally, it could help to facilitate a mutually agreed ending and matching with someone more suitable if necessary.</w:t>
      </w:r>
      <w:r w:rsidRPr="00142164">
        <w:rPr>
          <w:rFonts w:ascii="Arial" w:hAnsi="Arial" w:cs="Arial"/>
          <w:color w:val="000000"/>
          <w:sz w:val="22"/>
          <w:szCs w:val="22"/>
        </w:rPr>
        <w:t>  </w:t>
      </w:r>
      <w:r w:rsidRPr="00142164">
        <w:rPr>
          <w:rFonts w:ascii="Arial" w:hAnsi="Arial" w:cs="Arial"/>
          <w:color w:val="000000"/>
          <w:sz w:val="22"/>
          <w:szCs w:val="22"/>
        </w:rPr>
        <w:tab/>
      </w:r>
    </w:p>
    <w:p w14:paraId="28A25E54" w14:textId="41906354" w:rsidR="00237C76" w:rsidRPr="00142164" w:rsidRDefault="00237C76" w:rsidP="004930F3">
      <w:r w:rsidRPr="00142164">
        <w:t xml:space="preserve">A flexible approach to support, which is led by the student themselves, is most appropriate. Student’s individual needs can vary wildly; for some, support will need to be on-going, while for others it might be gradually phased out. Similarly, support needs may vary at different points in the academic year depending on individual factors, such as their skill set and ability, personal circumstances and course requirements. For example, some students may have significant impairments but function highly and require only brief periods of support at times of need. Conversely, others who have a more minor degree of impairment may benefit from much more intensive, regular support, depending on point of study, personal lives and other external factors. There is evidence to suggest that support needs may differ depending on course of study as well as at different points in the academic year (Banu et al., 2015). According to Banu et al, semester two may be associated with higher academic stress and pressure which can have a significant impact on wellbeing. Through specialist mentoring, students can take a proactive role in coordinating their own support, meeting their mentors more frequently at times of high academic stress, and reducing support when they are coping well. NMHs should collaborate with students to evaluate the stages of the course where they may require most support and then work to reduce support, enabling </w:t>
      </w:r>
      <w:r w:rsidRPr="00142164">
        <w:lastRenderedPageBreak/>
        <w:t xml:space="preserve">independence where appropriate. The more choice students are given when determining their own support needs, the more empowered students may feel, promoting autonomy and setting them up for success at University and </w:t>
      </w:r>
      <w:r w:rsidR="00D65316" w:rsidRPr="00142164">
        <w:t>beyond.</w:t>
      </w:r>
    </w:p>
    <w:p w14:paraId="1E1CE94F" w14:textId="77777777" w:rsidR="00237C76" w:rsidRPr="00142164" w:rsidRDefault="00237C76" w:rsidP="004930F3">
      <w:pPr>
        <w:pStyle w:val="Heading2"/>
      </w:pPr>
      <w:r w:rsidRPr="00142164">
        <w:t>Summary and conclusions </w:t>
      </w:r>
    </w:p>
    <w:p w14:paraId="6D090DCF" w14:textId="0C5A6743" w:rsidR="00237C76" w:rsidRDefault="00237C76" w:rsidP="004930F3">
      <w:r w:rsidRPr="00142164">
        <w:t xml:space="preserve">DSA is a vital source of funding which enables disabled students to access a broad range of support. Specialised one-on-one support delivered by non-medical helpers has a profound impact on </w:t>
      </w:r>
      <w:r w:rsidRPr="00142164">
        <w:rPr>
          <w:color w:val="000000" w:themeColor="text1"/>
        </w:rPr>
        <w:t xml:space="preserve">disabled students. </w:t>
      </w:r>
      <w:r w:rsidRPr="00142164">
        <w:t xml:space="preserve">Specialist mentoring, in particular, is vastly under-researched compared to more established professions such as counselling and it is believed this warrants much greater attention. In this paper it was identified that a number of mechanisms through which specialised NMH support exerts its powerful effects. The relationship between the helper and student is crucial and provides a role model which students feel safe with. This relationship facilitates the delivery and development of key social, cognitive, emotional, and academic skills training which promotes mental and emotional well-being as well as greater academic attainment. By keeping support person-centred, the student themselves is encouraged to develop autonomy and self-advocacy skills, setting their own goals and maximise their potential. However, significantly more research is needed to further the field and develop a greater understanding of the optimal process required to facilitate student growth and development. Brown (2020) makes a compelling case for addressing the research gap in student needs and highlights the need for rigorous, validated methodology, collaboration between researchers, and careful consideration of the needs across different universities. It is vital that researchers answer the call for high quality research in this area to find address for the poor wellbeing of university students adequately. Propose research should focus on better understanding the needs of students, as well as the impact, advantages and limitations of specialist support such as specialist mentoring </w:t>
      </w:r>
      <w:r w:rsidR="0036074D">
        <w:t>so t</w:t>
      </w:r>
      <w:r w:rsidRPr="00142164">
        <w:t xml:space="preserve">hat support can be best tailored to meet these needs. As a result, a plan to conduct a series of research projects to explore this further which will be reported across parts 3-6 of this DSA Series - 6. This research could be used to inform the development of an evidence-based framework for effective mentoring and study skills support. We anticipate that this research will help to address issues previously identified in part one of the series, such as a poor uptake of support. This will result in more efficient use of allocated funding, relieve pressure from already stretched university support services, and transform the student experience. Overall, </w:t>
      </w:r>
      <w:r>
        <w:t>i</w:t>
      </w:r>
      <w:r w:rsidRPr="00142164">
        <w:t xml:space="preserve">t is hoped to level the playing field for students </w:t>
      </w:r>
      <w:r w:rsidRPr="00142164">
        <w:lastRenderedPageBreak/>
        <w:t>with disabilities by ensuring each individual has access to appropriate and effective support centred around their needs.</w:t>
      </w:r>
    </w:p>
    <w:p w14:paraId="27BB9D40" w14:textId="1F0C4E5F" w:rsidR="00237C76" w:rsidRPr="00D65316" w:rsidRDefault="00237C76" w:rsidP="004930F3">
      <w:pPr>
        <w:pStyle w:val="Heading2"/>
      </w:pPr>
      <w:r w:rsidRPr="00142164">
        <w:t>References</w:t>
      </w:r>
    </w:p>
    <w:p w14:paraId="1D5A4B5E" w14:textId="2B1AE287" w:rsidR="00237C76" w:rsidRPr="00142164" w:rsidRDefault="00237C76" w:rsidP="004930F3">
      <w:pPr>
        <w:rPr>
          <w:rFonts w:ascii="Times New Roman" w:hAnsi="Times New Roman" w:cs="Times New Roman"/>
        </w:rPr>
      </w:pPr>
      <w:r w:rsidRPr="00142164">
        <w:t xml:space="preserve">Akram, U., Ypsilanti, A., Gardani, M., Irvine, K., Allen, S., Akram, A., Lazuras, L. (2020). Prevalence and psychiatric correlates of suicidal ideation in UK university students. </w:t>
      </w:r>
      <w:r w:rsidRPr="00142164">
        <w:rPr>
          <w:i/>
          <w:iCs/>
        </w:rPr>
        <w:t>Journal of Affective Disorders, 272,</w:t>
      </w:r>
      <w:r w:rsidRPr="00142164">
        <w:t xml:space="preserve"> 191–197. </w:t>
      </w:r>
    </w:p>
    <w:p w14:paraId="1C12E498" w14:textId="7CB35A65" w:rsidR="00237C76" w:rsidRPr="00142164" w:rsidRDefault="00237C76" w:rsidP="004930F3">
      <w:pPr>
        <w:rPr>
          <w:rFonts w:ascii="Times New Roman" w:hAnsi="Times New Roman" w:cs="Times New Roman"/>
        </w:rPr>
      </w:pPr>
      <w:r w:rsidRPr="00142164">
        <w:t xml:space="preserve">American Psychiatric Association, DSM-5 Task Force. (2013). </w:t>
      </w:r>
      <w:r w:rsidRPr="00142164">
        <w:rPr>
          <w:i/>
          <w:iCs/>
        </w:rPr>
        <w:t>Diagnostic and statistical manual of mental disorders: DSM-5™ (5th ed.).</w:t>
      </w:r>
      <w:r w:rsidRPr="00142164">
        <w:t xml:space="preserve"> American Psychiatric Publishing</w:t>
      </w:r>
      <w:r w:rsidR="004930F3">
        <w:t>.</w:t>
      </w:r>
    </w:p>
    <w:p w14:paraId="58CAC0BC" w14:textId="16E88746" w:rsidR="00237C76" w:rsidRPr="00142164" w:rsidRDefault="00237C76" w:rsidP="004930F3">
      <w:r w:rsidRPr="00142164">
        <w:t xml:space="preserve">Ames, M.E., McMorris, C.A., Alli, L.N., &amp; Bebko, J.M. (2015). Overview and evaluation of a mentorship program for university students with ASC. </w:t>
      </w:r>
      <w:r w:rsidRPr="00142164">
        <w:rPr>
          <w:i/>
          <w:iCs/>
        </w:rPr>
        <w:t>Focus on Autism and Other Developmental Disabilities, 31</w:t>
      </w:r>
      <w:r w:rsidRPr="00142164">
        <w:t>(1), 27–36.</w:t>
      </w:r>
    </w:p>
    <w:p w14:paraId="3788D5FB" w14:textId="451E6346" w:rsidR="00237C76" w:rsidRPr="00142164" w:rsidRDefault="00237C76" w:rsidP="004930F3">
      <w:r w:rsidRPr="00142164">
        <w:t xml:space="preserve">Anderson, A. H., Stephenson, J., &amp; Carter, M. (2017). A systematic literature review of the experiences and supports of students with autism spectrum disorder in post-secondary education. </w:t>
      </w:r>
      <w:r w:rsidRPr="00142164">
        <w:rPr>
          <w:i/>
          <w:iCs/>
        </w:rPr>
        <w:t>Research in Autism Spectrum Disorders</w:t>
      </w:r>
      <w:r w:rsidRPr="00142164">
        <w:t xml:space="preserve">, </w:t>
      </w:r>
      <w:r w:rsidRPr="00142164">
        <w:rPr>
          <w:i/>
          <w:iCs/>
        </w:rPr>
        <w:t>39</w:t>
      </w:r>
      <w:r w:rsidRPr="00142164">
        <w:t xml:space="preserve">, 33–53. </w:t>
      </w:r>
      <w:r w:rsidRPr="00142164">
        <w:tab/>
        <w:t>https://doi.org/https://doi.org/10.1016/j.rasd.2017.04.002</w:t>
      </w:r>
    </w:p>
    <w:p w14:paraId="6C5D7FED" w14:textId="092ADC1A" w:rsidR="00604BA7" w:rsidRPr="00604BA7" w:rsidRDefault="00237C76" w:rsidP="004930F3">
      <w:pPr>
        <w:rPr>
          <w:rFonts w:ascii="Times New Roman" w:hAnsi="Times New Roman" w:cs="Times New Roman"/>
        </w:rPr>
      </w:pPr>
      <w:r w:rsidRPr="00142164">
        <w:t xml:space="preserve">Ardito, R. B., &amp; Rabellino, D. (2011). Therapeutic alliance and outcome of psychotherapy: </w:t>
      </w:r>
      <w:r w:rsidRPr="00142164">
        <w:tab/>
        <w:t xml:space="preserve">Historical excursus, measurements, and prospects for research. </w:t>
      </w:r>
      <w:r w:rsidRPr="00142164">
        <w:rPr>
          <w:i/>
          <w:iCs/>
        </w:rPr>
        <w:t>Frontiers in Psychology</w:t>
      </w:r>
      <w:r w:rsidRPr="00142164">
        <w:t>, 2.</w:t>
      </w:r>
      <w:r w:rsidR="004930F3">
        <w:t xml:space="preserve"> Available online: </w:t>
      </w:r>
      <w:hyperlink r:id="rId7" w:history="1">
        <w:r w:rsidRPr="00142164">
          <w:rPr>
            <w:color w:val="1155CC"/>
          </w:rPr>
          <w:t>https://doi.org/10.3389/fpsyg.2011.00270</w:t>
        </w:r>
      </w:hyperlink>
      <w:r w:rsidR="004930F3">
        <w:rPr>
          <w:color w:val="1155CC"/>
        </w:rPr>
        <w:t xml:space="preserve"> </w:t>
      </w:r>
      <w:r w:rsidR="004930F3">
        <w:t>[Accessed 3</w:t>
      </w:r>
      <w:r w:rsidR="004930F3" w:rsidRPr="004930F3">
        <w:rPr>
          <w:vertAlign w:val="superscript"/>
        </w:rPr>
        <w:t>rd</w:t>
      </w:r>
      <w:r w:rsidR="004930F3">
        <w:t xml:space="preserve"> De</w:t>
      </w:r>
      <w:r w:rsidR="00604BA7">
        <w:t>c</w:t>
      </w:r>
      <w:r w:rsidR="004930F3">
        <w:t>ember 2020</w:t>
      </w:r>
      <w:r w:rsidR="00604BA7">
        <w:t>]</w:t>
      </w:r>
    </w:p>
    <w:p w14:paraId="21FB3F26" w14:textId="4078AB44" w:rsidR="00237C76" w:rsidRPr="00142164" w:rsidRDefault="00237C76" w:rsidP="004930F3">
      <w:pPr>
        <w:rPr>
          <w:rFonts w:ascii="Times New Roman" w:eastAsia="Times New Roman" w:hAnsi="Times New Roman" w:cs="Times New Roman"/>
        </w:rPr>
      </w:pPr>
      <w:r w:rsidRPr="00142164">
        <w:t>Auerbach, R., Alonso, J., Axinn, W., Cuijpers, P., Ebert, D., Green, J.,</w:t>
      </w:r>
      <w:r w:rsidR="00604BA7">
        <w:t xml:space="preserve"> </w:t>
      </w:r>
      <w:r w:rsidRPr="00142164">
        <w:t xml:space="preserve">Bruffaerts, R. (2016). Mental disorders among college students in the World Health Organization World Mental Health Surveys. </w:t>
      </w:r>
      <w:r w:rsidRPr="00142164">
        <w:rPr>
          <w:i/>
          <w:iCs/>
        </w:rPr>
        <w:t>Psychological Medicine, 46</w:t>
      </w:r>
      <w:r w:rsidRPr="00142164">
        <w:t xml:space="preserve">(14), 2955-2970. </w:t>
      </w:r>
    </w:p>
    <w:p w14:paraId="3EB26487" w14:textId="276F9161" w:rsidR="00237C76" w:rsidRPr="00142164" w:rsidRDefault="00237C76" w:rsidP="004930F3">
      <w:pPr>
        <w:rPr>
          <w:rFonts w:ascii="Times New Roman" w:hAnsi="Times New Roman" w:cs="Times New Roman"/>
        </w:rPr>
      </w:pPr>
      <w:r w:rsidRPr="00142164">
        <w:t xml:space="preserve">Banu, P., Deb, S., Vardhan, V., &amp; Rao, T. (2015). Perceived academic stress of university students across gender, academic streams, semesters, and academic performance. </w:t>
      </w:r>
      <w:r w:rsidRPr="00142164">
        <w:rPr>
          <w:i/>
          <w:iCs/>
        </w:rPr>
        <w:t>Indian Journal of Health &amp; Wellbeing, 6</w:t>
      </w:r>
      <w:r w:rsidRPr="00142164">
        <w:t>(3), 231–235.</w:t>
      </w:r>
    </w:p>
    <w:p w14:paraId="26DB0174" w14:textId="03755954" w:rsidR="00237C76" w:rsidRPr="00142164" w:rsidRDefault="00237C76" w:rsidP="004930F3">
      <w:pPr>
        <w:rPr>
          <w:rFonts w:ascii="Times New Roman" w:eastAsia="Times New Roman" w:hAnsi="Times New Roman" w:cs="Times New Roman"/>
        </w:rPr>
      </w:pPr>
      <w:r w:rsidRPr="00142164">
        <w:t xml:space="preserve">Baron, R. C., &amp; Salzer, M. S. (2002). Accounting for unemployment among people with </w:t>
      </w:r>
      <w:r w:rsidRPr="00142164">
        <w:tab/>
        <w:t xml:space="preserve">mental illness. </w:t>
      </w:r>
      <w:r w:rsidRPr="00142164">
        <w:rPr>
          <w:i/>
          <w:iCs/>
        </w:rPr>
        <w:t>Behavioral Sciences &amp; the Law, 20</w:t>
      </w:r>
      <w:r w:rsidRPr="00142164">
        <w:t xml:space="preserve">(6), 585–599. </w:t>
      </w:r>
    </w:p>
    <w:p w14:paraId="38F3FB53" w14:textId="13372578" w:rsidR="00237C76" w:rsidRPr="00142164" w:rsidRDefault="00237C76" w:rsidP="004930F3">
      <w:pPr>
        <w:rPr>
          <w:rFonts w:ascii="Times New Roman" w:eastAsia="Times New Roman" w:hAnsi="Times New Roman" w:cs="Times New Roman"/>
        </w:rPr>
      </w:pPr>
      <w:r w:rsidRPr="00142164">
        <w:t xml:space="preserve">Benson-Egglenton, J. (2019). The Financial Circumstances Associated with High and Low Wellbeing in Undergraduate Students: A Case Study of an English Russell Group Institution. </w:t>
      </w:r>
      <w:r w:rsidRPr="00142164">
        <w:rPr>
          <w:i/>
          <w:iCs/>
        </w:rPr>
        <w:t>Journal of Further and Higher Education, 43</w:t>
      </w:r>
      <w:r w:rsidRPr="00142164">
        <w:t>(7), 901–913. </w:t>
      </w:r>
    </w:p>
    <w:p w14:paraId="02FD637E" w14:textId="45A51847" w:rsidR="00237C76" w:rsidRPr="00142164" w:rsidRDefault="00237C76" w:rsidP="004930F3">
      <w:pPr>
        <w:rPr>
          <w:rFonts w:ascii="Times New Roman" w:hAnsi="Times New Roman" w:cs="Times New Roman"/>
        </w:rPr>
      </w:pPr>
      <w:r w:rsidRPr="00142164">
        <w:t xml:space="preserve">Bordin, E. S. (1979). The generalizability of the psychoanalytic concept of the working alliance. </w:t>
      </w:r>
      <w:r w:rsidRPr="00142164">
        <w:rPr>
          <w:i/>
          <w:iCs/>
        </w:rPr>
        <w:t>Psychotherapy, 16</w:t>
      </w:r>
      <w:r w:rsidRPr="00142164">
        <w:t>, 252–260.</w:t>
      </w:r>
    </w:p>
    <w:p w14:paraId="4DDE7F10" w14:textId="77777777" w:rsidR="00237C76" w:rsidRPr="00142164" w:rsidRDefault="00237C76" w:rsidP="004930F3">
      <w:pPr>
        <w:rPr>
          <w:rFonts w:ascii="Times New Roman" w:eastAsia="Times New Roman" w:hAnsi="Times New Roman" w:cs="Times New Roman"/>
        </w:rPr>
      </w:pPr>
    </w:p>
    <w:p w14:paraId="6BBD5BAF" w14:textId="69A131A9" w:rsidR="00237C76" w:rsidRPr="00142164" w:rsidRDefault="00237C76" w:rsidP="004930F3">
      <w:pPr>
        <w:rPr>
          <w:rFonts w:ascii="Times New Roman" w:hAnsi="Times New Roman" w:cs="Times New Roman"/>
        </w:rPr>
      </w:pPr>
      <w:r w:rsidRPr="00142164">
        <w:lastRenderedPageBreak/>
        <w:t xml:space="preserve">Bowers </w:t>
      </w:r>
      <w:r w:rsidRPr="00604BA7">
        <w:rPr>
          <w:i/>
          <w:iCs/>
        </w:rPr>
        <w:t>et. al</w:t>
      </w:r>
      <w:r w:rsidRPr="00142164">
        <w:t xml:space="preserve">.(1996). Improving the social status of peer rejected youth with disabilities: </w:t>
      </w:r>
      <w:r w:rsidRPr="00142164">
        <w:tab/>
        <w:t xml:space="preserve">Extending research on positive peer reporting. </w:t>
      </w:r>
      <w:r w:rsidRPr="00142164">
        <w:rPr>
          <w:i/>
          <w:iCs/>
        </w:rPr>
        <w:t>International Journal of Behavioral Consultation and Therapy.</w:t>
      </w:r>
    </w:p>
    <w:p w14:paraId="10D34D77" w14:textId="75F33D04" w:rsidR="00237C76" w:rsidRPr="00142164" w:rsidRDefault="00237C76" w:rsidP="004930F3">
      <w:pPr>
        <w:rPr>
          <w:rFonts w:ascii="Times New Roman" w:hAnsi="Times New Roman" w:cs="Times New Roman"/>
        </w:rPr>
      </w:pPr>
      <w:r w:rsidRPr="00142164">
        <w:t xml:space="preserve">Broglia, E., Millings, A., &amp; Barkham, M. (2018). Challenges to addressing student mental health in embedded counselling services: a survey of UK higher and further education institutions. </w:t>
      </w:r>
      <w:r w:rsidRPr="00142164">
        <w:rPr>
          <w:i/>
          <w:iCs/>
        </w:rPr>
        <w:t>British Journal of Guidance &amp; Counselling, 46</w:t>
      </w:r>
      <w:r w:rsidRPr="00142164">
        <w:t xml:space="preserve">(4), 441–455. </w:t>
      </w:r>
    </w:p>
    <w:p w14:paraId="154F7A71" w14:textId="23EDBA17" w:rsidR="00237C76" w:rsidRPr="00142164" w:rsidRDefault="00237C76" w:rsidP="004930F3">
      <w:pPr>
        <w:rPr>
          <w:color w:val="1155CC"/>
        </w:rPr>
      </w:pPr>
      <w:r w:rsidRPr="00142164">
        <w:t xml:space="preserve">Brown, P. (2020). Research into student mental health: where have we come and how can we improve? </w:t>
      </w:r>
      <w:r w:rsidRPr="00142164">
        <w:rPr>
          <w:i/>
          <w:iCs/>
        </w:rPr>
        <w:t>Journal of Public Mental Health</w:t>
      </w:r>
      <w:r w:rsidRPr="00142164">
        <w:t xml:space="preserve">, </w:t>
      </w:r>
      <w:r w:rsidRPr="00142164">
        <w:rPr>
          <w:i/>
          <w:iCs/>
        </w:rPr>
        <w:t>19</w:t>
      </w:r>
      <w:r w:rsidRPr="00142164">
        <w:t xml:space="preserve">(1), 9–12. </w:t>
      </w:r>
      <w:r w:rsidRPr="00142164">
        <w:tab/>
      </w:r>
    </w:p>
    <w:p w14:paraId="2518FAF9" w14:textId="5904988D" w:rsidR="00237C76" w:rsidRPr="00142164" w:rsidRDefault="00237C76" w:rsidP="004930F3">
      <w:r w:rsidRPr="00142164">
        <w:t xml:space="preserve">Cage, E., &amp; Howes, J. (2020). Dropping out and moving on: A qualitative study of autistic </w:t>
      </w:r>
      <w:r w:rsidRPr="00142164">
        <w:tab/>
        <w:t>people's experiences of university. </w:t>
      </w:r>
      <w:r w:rsidRPr="00142164">
        <w:rPr>
          <w:i/>
          <w:iCs/>
        </w:rPr>
        <w:t>Autism : the international journal of research and practice</w:t>
      </w:r>
      <w:r w:rsidRPr="00142164">
        <w:t>, </w:t>
      </w:r>
      <w:r w:rsidRPr="00142164">
        <w:rPr>
          <w:i/>
          <w:iCs/>
        </w:rPr>
        <w:t>24</w:t>
      </w:r>
      <w:r w:rsidRPr="00142164">
        <w:t xml:space="preserve">(7), 1664–1675. </w:t>
      </w:r>
    </w:p>
    <w:p w14:paraId="4A60E598" w14:textId="3D4C92A9" w:rsidR="00237C76" w:rsidRPr="00142164" w:rsidRDefault="00237C76" w:rsidP="004930F3">
      <w:pPr>
        <w:rPr>
          <w:rFonts w:ascii="Times New Roman" w:hAnsi="Times New Roman" w:cs="Times New Roman"/>
        </w:rPr>
      </w:pPr>
      <w:r w:rsidRPr="00142164">
        <w:t xml:space="preserve">Cai, R., &amp; Richdale, A. (2016). Educational experiences and needs of higher education students with Autism Spectrum Disorder. </w:t>
      </w:r>
      <w:r w:rsidRPr="00142164">
        <w:rPr>
          <w:i/>
          <w:iCs/>
        </w:rPr>
        <w:t>Journal of Autism and Developmental Disorders, 46</w:t>
      </w:r>
      <w:r w:rsidRPr="00142164">
        <w:t xml:space="preserve">(1), 31–41. </w:t>
      </w:r>
    </w:p>
    <w:p w14:paraId="099B6BAE" w14:textId="3DA33476" w:rsidR="00237C76" w:rsidRPr="00142164" w:rsidRDefault="00237C76" w:rsidP="004930F3">
      <w:pPr>
        <w:rPr>
          <w:rFonts w:eastAsia="Times New Roman"/>
          <w:color w:val="000000" w:themeColor="text1"/>
        </w:rPr>
      </w:pPr>
      <w:r w:rsidRPr="00142164">
        <w:rPr>
          <w:rFonts w:eastAsia="Times New Roman"/>
          <w:color w:val="000000" w:themeColor="text1"/>
        </w:rPr>
        <w:t>Cain, M. K., Kaboski, J. R., &amp; Gilger, J. W. (2019). Profiles and academic trajectories of cognitively gifted children with autism spectrum disorder. </w:t>
      </w:r>
      <w:r w:rsidRPr="00142164">
        <w:rPr>
          <w:rFonts w:eastAsia="Times New Roman"/>
          <w:i/>
          <w:iCs/>
          <w:color w:val="000000" w:themeColor="text1"/>
        </w:rPr>
        <w:t>Autism</w:t>
      </w:r>
      <w:r w:rsidRPr="00142164">
        <w:rPr>
          <w:rFonts w:eastAsia="Times New Roman"/>
          <w:color w:val="000000" w:themeColor="text1"/>
        </w:rPr>
        <w:t>, </w:t>
      </w:r>
      <w:r w:rsidRPr="00142164">
        <w:rPr>
          <w:rFonts w:eastAsia="Times New Roman"/>
          <w:i/>
          <w:iCs/>
          <w:color w:val="000000" w:themeColor="text1"/>
        </w:rPr>
        <w:t>23</w:t>
      </w:r>
      <w:r w:rsidRPr="00142164">
        <w:rPr>
          <w:rFonts w:eastAsia="Times New Roman"/>
          <w:color w:val="000000" w:themeColor="text1"/>
        </w:rPr>
        <w:t>(7), 1663–1674.</w:t>
      </w:r>
    </w:p>
    <w:p w14:paraId="56260AEE" w14:textId="2C58E908" w:rsidR="00237C76" w:rsidRPr="00142164" w:rsidRDefault="00237C76" w:rsidP="004930F3">
      <w:pPr>
        <w:rPr>
          <w:rFonts w:eastAsia="Times New Roman"/>
          <w:color w:val="000000" w:themeColor="text1"/>
        </w:rPr>
      </w:pPr>
      <w:r w:rsidRPr="00142164">
        <w:rPr>
          <w:rFonts w:eastAsia="Times New Roman"/>
          <w:color w:val="000000" w:themeColor="text1"/>
          <w:shd w:val="clear" w:color="auto" w:fill="FFFFFF"/>
        </w:rPr>
        <w:t>Clouder, D., Karakus, M., Cinotti, A., Ferreyra, M. V., Amador Fierros, G., &amp; Rojo, P. (2020). Neurodiversity in higher education: a narrative synthesis. </w:t>
      </w:r>
      <w:r w:rsidRPr="00142164">
        <w:rPr>
          <w:rFonts w:eastAsia="Times New Roman"/>
          <w:i/>
          <w:iCs/>
          <w:color w:val="000000" w:themeColor="text1"/>
          <w:shd w:val="clear" w:color="auto" w:fill="FFFFFF"/>
        </w:rPr>
        <w:t>Higher Education</w:t>
      </w:r>
      <w:r w:rsidRPr="00142164">
        <w:rPr>
          <w:rFonts w:eastAsia="Times New Roman"/>
          <w:color w:val="000000" w:themeColor="text1"/>
          <w:shd w:val="clear" w:color="auto" w:fill="FFFFFF"/>
        </w:rPr>
        <w:t>, </w:t>
      </w:r>
      <w:r w:rsidRPr="00142164">
        <w:rPr>
          <w:rFonts w:eastAsia="Times New Roman"/>
          <w:i/>
          <w:iCs/>
          <w:color w:val="000000" w:themeColor="text1"/>
          <w:shd w:val="clear" w:color="auto" w:fill="FFFFFF"/>
        </w:rPr>
        <w:t>80</w:t>
      </w:r>
      <w:r w:rsidRPr="00142164">
        <w:rPr>
          <w:rFonts w:eastAsia="Times New Roman"/>
          <w:color w:val="000000" w:themeColor="text1"/>
          <w:shd w:val="clear" w:color="auto" w:fill="FFFFFF"/>
        </w:rPr>
        <w:t>(4), 757-778. </w:t>
      </w:r>
    </w:p>
    <w:p w14:paraId="62DE8815" w14:textId="69F09844" w:rsidR="00237C76" w:rsidRPr="00142164" w:rsidRDefault="00237C76" w:rsidP="004930F3">
      <w:r w:rsidRPr="00142164">
        <w:t xml:space="preserve">Cook, L. J. (2007). Striving to help college students with mental health issues. </w:t>
      </w:r>
      <w:r w:rsidRPr="00142164">
        <w:rPr>
          <w:i/>
          <w:iCs/>
        </w:rPr>
        <w:t>Journal of Psychosocial Nursing and Mental Health Services, 45</w:t>
      </w:r>
      <w:r w:rsidRPr="00142164">
        <w:t>(4), 40–44.</w:t>
      </w:r>
    </w:p>
    <w:p w14:paraId="37FC7DD0" w14:textId="1A067C04" w:rsidR="00237C76" w:rsidRPr="00142164" w:rsidRDefault="00237C76" w:rsidP="004930F3">
      <w:r w:rsidRPr="00142164">
        <w:t>Crabb, J., Davis, J. and Hargreaves, S. (2016) ‘</w:t>
      </w:r>
      <w:r w:rsidRPr="00142164">
        <w:rPr>
          <w:i/>
          <w:iCs/>
        </w:rPr>
        <w:t>Managing your study. In study skills for students with dyslexia: support for specific learning difficulties (SpLDs)’.</w:t>
      </w:r>
      <w:r w:rsidRPr="00142164">
        <w:t> Thousand Oaks, CA: SAGE Publications</w:t>
      </w:r>
    </w:p>
    <w:p w14:paraId="201D9C99" w14:textId="05D06765" w:rsidR="00237C76" w:rsidRDefault="00237C76" w:rsidP="004930F3">
      <w:r w:rsidRPr="00142164">
        <w:t xml:space="preserve">Curtin, C, Humphrey, K, Vronsky, K, Mattern, K., Nicastro, S. &amp; Perrin, E. (2016). Expanding </w:t>
      </w:r>
      <w:r w:rsidRPr="00142164">
        <w:tab/>
        <w:t xml:space="preserve">Horizons: A Pilot Mentoring Program Linking College/Graduate Students and Teens With ASC. </w:t>
      </w:r>
      <w:r w:rsidRPr="00836976">
        <w:t>Clinical Pediatrics, 55</w:t>
      </w:r>
      <w:r w:rsidRPr="00142164">
        <w:t>(2) 150–156.</w:t>
      </w:r>
    </w:p>
    <w:p w14:paraId="392100CF" w14:textId="271B3B2D" w:rsidR="00237C76" w:rsidRPr="00836976" w:rsidRDefault="00237C76" w:rsidP="004930F3">
      <w:r w:rsidRPr="00836976">
        <w:t xml:space="preserve">Dawkins, Gemma and Milton, Damian and Martin, Nicola and Sims, Tara and Baron-Cohen, </w:t>
      </w:r>
      <w:r>
        <w:t xml:space="preserve">  </w:t>
      </w:r>
      <w:r w:rsidRPr="00836976">
        <w:t xml:space="preserve">Simon and Mills, Richard (2016). Executive Summary: Research Autism Cygnet Mentoring Project. Project report. London South Bank University, London, UK </w:t>
      </w:r>
    </w:p>
    <w:p w14:paraId="5AED239C" w14:textId="240CE199" w:rsidR="00604BA7" w:rsidRDefault="00237C76" w:rsidP="004930F3">
      <w:r w:rsidRPr="00142164">
        <w:t xml:space="preserve">Department for Education. (2019). Non-Medical Help (NMH) – DfE qualification and </w:t>
      </w:r>
      <w:r w:rsidRPr="00142164">
        <w:tab/>
        <w:t xml:space="preserve">professional body membership requirements to deliver DSA’s fundable NMH roles. </w:t>
      </w:r>
      <w:r w:rsidRPr="00142164">
        <w:tab/>
      </w:r>
      <w:r w:rsidR="00604BA7">
        <w:t xml:space="preserve">Available online: </w:t>
      </w:r>
      <w:r w:rsidRPr="00142164">
        <w:t xml:space="preserve"> </w:t>
      </w:r>
      <w:hyperlink r:id="rId8" w:history="1">
        <w:r w:rsidR="00604BA7" w:rsidRPr="008C10A7">
          <w:rPr>
            <w:rStyle w:val="Hyperlink"/>
            <w:rFonts w:eastAsia="Times New Roman"/>
          </w:rPr>
          <w:t>https://www.practitioners.slc.co.uk/media/1752/ssin-0719-autism-and-mental-health-final-for-issuing-september-2019.pdf</w:t>
        </w:r>
      </w:hyperlink>
      <w:r w:rsidR="00604BA7">
        <w:rPr>
          <w:rStyle w:val="Hyperlink"/>
          <w:rFonts w:eastAsia="Times New Roman"/>
        </w:rPr>
        <w:t xml:space="preserve"> </w:t>
      </w:r>
      <w:r w:rsidR="00604BA7">
        <w:t xml:space="preserve"> [Accessed 3</w:t>
      </w:r>
      <w:r w:rsidR="00604BA7" w:rsidRPr="00604BA7">
        <w:rPr>
          <w:vertAlign w:val="superscript"/>
        </w:rPr>
        <w:t>rd</w:t>
      </w:r>
      <w:r w:rsidR="00604BA7">
        <w:t xml:space="preserve"> December 2020]</w:t>
      </w:r>
    </w:p>
    <w:p w14:paraId="09382129" w14:textId="1F27F4F5" w:rsidR="00237C76" w:rsidRDefault="00237C76" w:rsidP="004930F3">
      <w:r w:rsidRPr="00142164">
        <w:t xml:space="preserve">Dobson, S. (2019). A Documentary Analysis of the Support Services Offered to Adult </w:t>
      </w:r>
      <w:r w:rsidRPr="00142164">
        <w:tab/>
        <w:t xml:space="preserve">Learners with Dyslexia in Higher Education. </w:t>
      </w:r>
      <w:r w:rsidRPr="00142164">
        <w:rPr>
          <w:i/>
          <w:iCs/>
        </w:rPr>
        <w:t>Journal of Further and Higher Education</w:t>
      </w:r>
      <w:r w:rsidRPr="00142164">
        <w:t xml:space="preserve">, </w:t>
      </w:r>
      <w:r w:rsidRPr="00142164">
        <w:tab/>
      </w:r>
      <w:r w:rsidRPr="00142164">
        <w:rPr>
          <w:i/>
          <w:iCs/>
        </w:rPr>
        <w:t>43</w:t>
      </w:r>
      <w:r w:rsidRPr="00142164">
        <w:t>(9), 1181–1195.</w:t>
      </w:r>
    </w:p>
    <w:p w14:paraId="3BAD41AC" w14:textId="746567A9" w:rsidR="00604BA7" w:rsidRDefault="00237C76" w:rsidP="004930F3">
      <w:r>
        <w:t xml:space="preserve">DSA-QAG (2017). </w:t>
      </w:r>
      <w:r w:rsidRPr="00F620B4">
        <w:t>Non-Medical Helper Providers</w:t>
      </w:r>
      <w:r>
        <w:t xml:space="preserve"> </w:t>
      </w:r>
      <w:r w:rsidRPr="00F620B4">
        <w:t>Quality Assurance Framework</w:t>
      </w:r>
      <w:r>
        <w:t xml:space="preserve">. </w:t>
      </w:r>
      <w:r w:rsidR="00604BA7">
        <w:rPr>
          <w:rFonts w:cstheme="minorHAnsi"/>
          <w:szCs w:val="28"/>
        </w:rPr>
        <w:t>Available online:</w:t>
      </w:r>
      <w:r w:rsidRPr="00604BA7">
        <w:rPr>
          <w:rFonts w:cstheme="minorHAnsi"/>
          <w:szCs w:val="28"/>
        </w:rPr>
        <w:t xml:space="preserve"> </w:t>
      </w:r>
      <w:hyperlink r:id="rId9" w:history="1">
        <w:r w:rsidR="00604BA7" w:rsidRPr="008C10A7">
          <w:rPr>
            <w:rStyle w:val="Hyperlink"/>
            <w:rFonts w:cstheme="minorHAnsi"/>
            <w:szCs w:val="28"/>
          </w:rPr>
          <w:t>https://www.amanosupport.com/wp content/uploads/2018/03/NMH_Quality_Assurance_Framework_V2.0.pdf</w:t>
        </w:r>
      </w:hyperlink>
      <w:r w:rsidR="00604BA7">
        <w:t xml:space="preserve"> [Accessed 3</w:t>
      </w:r>
      <w:r w:rsidR="00604BA7" w:rsidRPr="00604BA7">
        <w:rPr>
          <w:vertAlign w:val="superscript"/>
        </w:rPr>
        <w:t>rd</w:t>
      </w:r>
      <w:r w:rsidR="00604BA7">
        <w:t xml:space="preserve"> December 2020] </w:t>
      </w:r>
    </w:p>
    <w:p w14:paraId="2FC4844E" w14:textId="7146BC6C" w:rsidR="00237C76" w:rsidRPr="00036E85" w:rsidRDefault="00237C76" w:rsidP="004930F3">
      <w:pPr>
        <w:rPr>
          <w:rFonts w:ascii="Times New Roman" w:hAnsi="Times New Roman" w:cs="Times New Roman"/>
        </w:rPr>
      </w:pPr>
      <w:r w:rsidRPr="00F6250D">
        <w:t xml:space="preserve">Elvins, R., &amp; Green, J. (2008). The conceptualization and measurement of therapeutic </w:t>
      </w:r>
      <w:r>
        <w:tab/>
      </w:r>
      <w:r w:rsidRPr="00F6250D">
        <w:t xml:space="preserve">alliance: An empirical review. </w:t>
      </w:r>
      <w:r w:rsidRPr="00F6250D">
        <w:rPr>
          <w:i/>
          <w:iCs/>
        </w:rPr>
        <w:t>Clinical Psychology Review</w:t>
      </w:r>
      <w:r w:rsidRPr="00F6250D">
        <w:t xml:space="preserve">, </w:t>
      </w:r>
      <w:r w:rsidRPr="00F6250D">
        <w:rPr>
          <w:i/>
          <w:iCs/>
        </w:rPr>
        <w:t>28</w:t>
      </w:r>
      <w:r w:rsidRPr="00F6250D">
        <w:t xml:space="preserve">(7), 1167-1187. </w:t>
      </w:r>
      <w:r>
        <w:tab/>
      </w:r>
    </w:p>
    <w:p w14:paraId="21145F3B" w14:textId="35FED555" w:rsidR="00237C76" w:rsidRPr="00F6250D" w:rsidRDefault="00237C76" w:rsidP="004930F3">
      <w:pPr>
        <w:rPr>
          <w:rFonts w:ascii="Times New Roman" w:hAnsi="Times New Roman" w:cs="Times New Roman"/>
        </w:rPr>
      </w:pPr>
      <w:r w:rsidRPr="00F6250D">
        <w:t>Fleischer, A.S. (2012). Alienation and struggle: Everyday student-life of three male students with Asperger Syndrome.</w:t>
      </w:r>
      <w:r w:rsidRPr="00F6250D">
        <w:rPr>
          <w:i/>
          <w:iCs/>
        </w:rPr>
        <w:t xml:space="preserve"> Scandinavian Journal of Disability Research, 14</w:t>
      </w:r>
      <w:r w:rsidRPr="00F6250D">
        <w:t>(2), 177–94.</w:t>
      </w:r>
    </w:p>
    <w:p w14:paraId="0D0D025E" w14:textId="335BBC06" w:rsidR="00237C76" w:rsidRPr="00F6250D" w:rsidRDefault="00237C76" w:rsidP="004930F3">
      <w:pPr>
        <w:rPr>
          <w:rFonts w:ascii="Times New Roman" w:hAnsi="Times New Roman" w:cs="Times New Roman"/>
        </w:rPr>
      </w:pPr>
      <w:r w:rsidRPr="00F6250D">
        <w:t xml:space="preserve">Gaddis, S. M., Ramirez, D., &amp; Hernandez, E. L. (2018). Contextualizing public stigma: Endorsed mental health treatment stigma on college and university campuses. </w:t>
      </w:r>
      <w:r w:rsidRPr="00F6250D">
        <w:rPr>
          <w:i/>
          <w:iCs/>
        </w:rPr>
        <w:t>Social Science &amp; Medicine, 197</w:t>
      </w:r>
      <w:r w:rsidRPr="00F6250D">
        <w:t>, 183–191. </w:t>
      </w:r>
    </w:p>
    <w:p w14:paraId="4377F90A" w14:textId="4AE047AB" w:rsidR="00237C76" w:rsidRPr="00F6250D" w:rsidRDefault="00237C76" w:rsidP="004930F3">
      <w:pPr>
        <w:rPr>
          <w:rFonts w:ascii="Times New Roman" w:hAnsi="Times New Roman" w:cs="Times New Roman"/>
        </w:rPr>
      </w:pPr>
      <w:r w:rsidRPr="00F6250D">
        <w:t xml:space="preserve">Gillespie-Lynch K, Brooks PJ, Someki F, et al. (2015) Changing college students’ conceptions of autism: an online training to increase knowledge and decrease stigma. </w:t>
      </w:r>
      <w:r w:rsidRPr="00F6250D">
        <w:rPr>
          <w:i/>
          <w:iCs/>
        </w:rPr>
        <w:t>Journal of Autism and Developmental Disorders, 45</w:t>
      </w:r>
      <w:r w:rsidRPr="00F6250D">
        <w:t>(8), 2553–2566.</w:t>
      </w:r>
    </w:p>
    <w:p w14:paraId="663EEAD9" w14:textId="77777777" w:rsidR="00237C76" w:rsidRPr="00F6250D" w:rsidRDefault="00237C76" w:rsidP="004930F3">
      <w:pPr>
        <w:rPr>
          <w:rFonts w:ascii="Times New Roman" w:hAnsi="Times New Roman" w:cs="Times New Roman"/>
        </w:rPr>
      </w:pPr>
      <w:r w:rsidRPr="00F6250D">
        <w:t xml:space="preserve">Giust, A., &amp; Valle-Riestra, D. (2017). Supporting mentors working with students with </w:t>
      </w:r>
      <w:r>
        <w:tab/>
      </w:r>
      <w:r w:rsidRPr="00F6250D">
        <w:t xml:space="preserve">intellectual disabilities in higher education. </w:t>
      </w:r>
      <w:r w:rsidRPr="00F6250D">
        <w:rPr>
          <w:i/>
          <w:iCs/>
        </w:rPr>
        <w:t>Journal</w:t>
      </w:r>
      <w:r>
        <w:rPr>
          <w:i/>
          <w:iCs/>
        </w:rPr>
        <w:t xml:space="preserve"> of Intellectual Disabilities, </w:t>
      </w:r>
      <w:r w:rsidRPr="00F6250D">
        <w:rPr>
          <w:i/>
          <w:iCs/>
        </w:rPr>
        <w:t>21</w:t>
      </w:r>
      <w:r w:rsidRPr="00F6250D">
        <w:t xml:space="preserve">(2) </w:t>
      </w:r>
      <w:r>
        <w:tab/>
      </w:r>
      <w:r w:rsidRPr="00F6250D">
        <w:t>144–157</w:t>
      </w:r>
      <w:r>
        <w:t>.</w:t>
      </w:r>
    </w:p>
    <w:p w14:paraId="3920C84E" w14:textId="1632FD63" w:rsidR="00237C76" w:rsidRPr="00F6250D" w:rsidRDefault="00237C76" w:rsidP="004930F3">
      <w:pPr>
        <w:rPr>
          <w:rFonts w:ascii="Times New Roman" w:eastAsia="Times New Roman" w:hAnsi="Times New Roman" w:cs="Times New Roman"/>
        </w:rPr>
      </w:pPr>
      <w:r w:rsidRPr="00F6250D">
        <w:t xml:space="preserve">Gobbo, K., &amp; Shmulsky, S. (2014). Faculty experience with college students with autism </w:t>
      </w:r>
      <w:r>
        <w:tab/>
      </w:r>
      <w:r w:rsidRPr="00F6250D">
        <w:t xml:space="preserve">spectrum disorders: A qualitative study of challenges and solutions. </w:t>
      </w:r>
      <w:r w:rsidRPr="00F6250D">
        <w:rPr>
          <w:i/>
          <w:iCs/>
        </w:rPr>
        <w:t>Focus on Autism and Other Developmental Disabilities, 29</w:t>
      </w:r>
      <w:r w:rsidRPr="00F6250D">
        <w:t xml:space="preserve">, 13–22. </w:t>
      </w:r>
    </w:p>
    <w:p w14:paraId="39B12AC2" w14:textId="00861C84" w:rsidR="00237C76" w:rsidRPr="00036E85" w:rsidRDefault="00237C76" w:rsidP="004930F3">
      <w:pPr>
        <w:rPr>
          <w:rFonts w:ascii="Times New Roman" w:hAnsi="Times New Roman" w:cs="Times New Roman"/>
        </w:rPr>
      </w:pPr>
      <w:r w:rsidRPr="00F6250D">
        <w:t xml:space="preserve">Grøtan, K., Sund, E. R., &amp; Bjerkeset, O. (2019). Mental Health, Academic Self-Efficacy and </w:t>
      </w:r>
      <w:r>
        <w:tab/>
      </w:r>
      <w:r w:rsidRPr="00F6250D">
        <w:t xml:space="preserve">Study Progress Among College Students – The SHoT Study, Norway. </w:t>
      </w:r>
      <w:r w:rsidRPr="00F6250D">
        <w:rPr>
          <w:i/>
          <w:iCs/>
        </w:rPr>
        <w:t>Frontiers in Psychology, 10</w:t>
      </w:r>
      <w:r w:rsidR="00604BA7">
        <w:t>.</w:t>
      </w:r>
    </w:p>
    <w:p w14:paraId="1F583808" w14:textId="77777777" w:rsidR="00237C76" w:rsidRPr="00F6250D" w:rsidRDefault="00237C76" w:rsidP="004930F3">
      <w:pPr>
        <w:rPr>
          <w:rFonts w:ascii="Times New Roman" w:hAnsi="Times New Roman" w:cs="Times New Roman"/>
        </w:rPr>
      </w:pPr>
      <w:r w:rsidRPr="00F6250D">
        <w:t xml:space="preserve">Gurbuz, E., Hanley, M., Riby, D.M. (2019). University Students with Autism: The Social and </w:t>
      </w:r>
      <w:r>
        <w:tab/>
      </w:r>
      <w:r w:rsidRPr="00F6250D">
        <w:t xml:space="preserve">Academic Experiences of University in the UK. </w:t>
      </w:r>
      <w:r w:rsidRPr="00F6250D">
        <w:rPr>
          <w:i/>
          <w:iCs/>
        </w:rPr>
        <w:t>J Autism Dev Disord, 49</w:t>
      </w:r>
      <w:r w:rsidRPr="00F6250D">
        <w:t>(2), 617-631. </w:t>
      </w:r>
    </w:p>
    <w:p w14:paraId="166A5A68" w14:textId="335798B9" w:rsidR="00237C76" w:rsidRPr="00F6250D" w:rsidRDefault="00237C76" w:rsidP="004930F3">
      <w:pPr>
        <w:rPr>
          <w:rFonts w:ascii="Times New Roman" w:hAnsi="Times New Roman" w:cs="Times New Roman"/>
        </w:rPr>
      </w:pPr>
      <w:r w:rsidRPr="00F6250D">
        <w:lastRenderedPageBreak/>
        <w:t xml:space="preserve">Hamilton, J., Stevens, G., &amp; Girdler, S. (2016). Becoming a mentor: The impact of training and the experience of mentoring university students on the Autism Spectrum. </w:t>
      </w:r>
      <w:r w:rsidRPr="00F6250D">
        <w:rPr>
          <w:i/>
          <w:iCs/>
        </w:rPr>
        <w:t>PLoS ONE, 11</w:t>
      </w:r>
      <w:r w:rsidRPr="00F6250D">
        <w:t xml:space="preserve">(4), e0153204. </w:t>
      </w:r>
    </w:p>
    <w:p w14:paraId="091B16E9" w14:textId="333806BF" w:rsidR="00237C76" w:rsidRPr="00F6250D" w:rsidRDefault="00237C76" w:rsidP="004930F3">
      <w:pPr>
        <w:rPr>
          <w:rFonts w:ascii="Times New Roman" w:hAnsi="Times New Roman" w:cs="Times New Roman"/>
        </w:rPr>
      </w:pPr>
      <w:r w:rsidRPr="00F6250D">
        <w:t xml:space="preserve">Hillier, A., Goldstein, J., Murphy, D., Trietsch, R., Keeves, J., Mendes, E., &amp; Queenan, A. (2018). Supporting university students with autism spectrum disorder. </w:t>
      </w:r>
      <w:r w:rsidRPr="00F6250D">
        <w:rPr>
          <w:i/>
          <w:iCs/>
        </w:rPr>
        <w:t>Autism, 22</w:t>
      </w:r>
      <w:r w:rsidRPr="00F6250D">
        <w:t xml:space="preserve">(1), 20–28. </w:t>
      </w:r>
    </w:p>
    <w:p w14:paraId="1B402F5A" w14:textId="77777777" w:rsidR="00237C76" w:rsidRPr="00F6250D" w:rsidRDefault="00237C76" w:rsidP="004930F3">
      <w:pPr>
        <w:rPr>
          <w:rFonts w:ascii="Times New Roman" w:hAnsi="Times New Roman" w:cs="Times New Roman"/>
        </w:rPr>
      </w:pPr>
      <w:r w:rsidRPr="00F6250D">
        <w:t xml:space="preserve">Houlden, V., Weich, S., &amp; Jarvis, S. (2017). A cross-sectional analysis of green space </w:t>
      </w:r>
      <w:r>
        <w:tab/>
      </w:r>
      <w:r w:rsidRPr="00F6250D">
        <w:t xml:space="preserve">prevalence and mental wellbeing in England. </w:t>
      </w:r>
      <w:r w:rsidRPr="00F6250D">
        <w:rPr>
          <w:i/>
          <w:iCs/>
        </w:rPr>
        <w:t>BMC Public Health, 17</w:t>
      </w:r>
      <w:r w:rsidRPr="00F6250D">
        <w:t>(1), 460. </w:t>
      </w:r>
    </w:p>
    <w:p w14:paraId="318F2C7C" w14:textId="77777777" w:rsidR="00237C76" w:rsidRPr="00142164" w:rsidRDefault="00237C76" w:rsidP="004930F3">
      <w:pPr>
        <w:rPr>
          <w:rFonts w:ascii="Times New Roman" w:hAnsi="Times New Roman" w:cs="Times New Roman"/>
          <w:lang w:val="en-GB"/>
        </w:rPr>
      </w:pPr>
      <w:r w:rsidRPr="00F6250D">
        <w:t xml:space="preserve">Huskins, C., Silet, K., Weber-Main, A., Begg, M., Fowler, V., Hamilton, J., &amp; Fleming, M. </w:t>
      </w:r>
      <w:r>
        <w:tab/>
      </w:r>
      <w:r w:rsidRPr="00F6250D">
        <w:t>(2011). Identifying and aligning expectations in a mentoring relationship.</w:t>
      </w:r>
      <w:r w:rsidRPr="00F6250D">
        <w:rPr>
          <w:i/>
          <w:iCs/>
        </w:rPr>
        <w:t xml:space="preserve"> </w:t>
      </w:r>
      <w:r w:rsidRPr="00142164">
        <w:rPr>
          <w:i/>
          <w:iCs/>
          <w:lang w:val="en-GB"/>
        </w:rPr>
        <w:t xml:space="preserve">Clin Trans </w:t>
      </w:r>
      <w:r w:rsidRPr="00142164">
        <w:rPr>
          <w:i/>
          <w:iCs/>
          <w:lang w:val="en-GB"/>
        </w:rPr>
        <w:tab/>
        <w:t>Sci, 4</w:t>
      </w:r>
      <w:r w:rsidRPr="00142164">
        <w:rPr>
          <w:lang w:val="en-GB"/>
        </w:rPr>
        <w:t>, 439-447.</w:t>
      </w:r>
    </w:p>
    <w:p w14:paraId="3ACB6FA3" w14:textId="4608BC44" w:rsidR="00237C76" w:rsidRPr="00F91185" w:rsidRDefault="00237C76" w:rsidP="004930F3">
      <w:r w:rsidRPr="00F6250D">
        <w:t xml:space="preserve">Kalka, D., &amp; Lockiewicz, M. (2018). Happiness, Life Satisfaction, Resiliency and Social Support in Students with Dyslexia. International Journal of Disability. </w:t>
      </w:r>
      <w:r w:rsidRPr="00F6250D">
        <w:rPr>
          <w:i/>
          <w:iCs/>
        </w:rPr>
        <w:t>Development and Education, 65</w:t>
      </w:r>
      <w:r w:rsidRPr="00F6250D">
        <w:t xml:space="preserve">(5), 493–508. </w:t>
      </w:r>
    </w:p>
    <w:p w14:paraId="2986A419" w14:textId="57118F09" w:rsidR="00237C76" w:rsidRDefault="00237C76" w:rsidP="004930F3">
      <w:r w:rsidRPr="00F91185">
        <w:t>Laws, H. B., Constantino, M. J., Sayer, A. G., Klein, D. N., Kocsis, J. H., Manber, R.,</w:t>
      </w:r>
      <w:r w:rsidR="00604BA7">
        <w:t xml:space="preserve"> </w:t>
      </w:r>
      <w:r w:rsidRPr="00F91185">
        <w:t>Markowitz, J. C., Rothbaum, B. O., Steidtmann, D., Thase, M. E., &amp; Arnow, B. A. (2017). Convergence in patient-therapist therapeutic alliance ratings and its relation to outcome in chronic depression treatment. </w:t>
      </w:r>
      <w:r w:rsidRPr="00F91185">
        <w:rPr>
          <w:i/>
          <w:iCs/>
        </w:rPr>
        <w:t>Psychotherapy research : journal of the Society for Psychotherapy Research</w:t>
      </w:r>
      <w:r w:rsidRPr="00F91185">
        <w:t>, </w:t>
      </w:r>
      <w:r w:rsidRPr="00F91185">
        <w:rPr>
          <w:i/>
          <w:iCs/>
        </w:rPr>
        <w:t>27</w:t>
      </w:r>
      <w:r w:rsidRPr="00F91185">
        <w:t xml:space="preserve">(4), 410–424. </w:t>
      </w:r>
    </w:p>
    <w:p w14:paraId="29A5290C" w14:textId="52D3003F" w:rsidR="00237C76" w:rsidRPr="00F6250D" w:rsidRDefault="00237C76" w:rsidP="004930F3">
      <w:pPr>
        <w:rPr>
          <w:rFonts w:ascii="Times New Roman" w:eastAsia="Times New Roman" w:hAnsi="Times New Roman" w:cs="Times New Roman"/>
        </w:rPr>
      </w:pPr>
      <w:r w:rsidRPr="00F6250D">
        <w:t xml:space="preserve">Lipson, S. K., &amp; Eisenberg, D. (2018). Mental health and academic attitudes and expectations in university populations: results from the healthy minds study. </w:t>
      </w:r>
      <w:r w:rsidRPr="00F6250D">
        <w:rPr>
          <w:i/>
          <w:iCs/>
        </w:rPr>
        <w:t>Journal of Mental Health, 27</w:t>
      </w:r>
      <w:r w:rsidRPr="00F6250D">
        <w:t xml:space="preserve">(3), 205–213. </w:t>
      </w:r>
    </w:p>
    <w:p w14:paraId="40247193" w14:textId="1386299A" w:rsidR="00237C76" w:rsidRPr="00F6250D" w:rsidRDefault="00237C76" w:rsidP="004930F3">
      <w:pPr>
        <w:rPr>
          <w:rFonts w:ascii="Times New Roman" w:hAnsi="Times New Roman" w:cs="Times New Roman"/>
        </w:rPr>
      </w:pPr>
      <w:r w:rsidRPr="00F6250D">
        <w:t xml:space="preserve">Lucas, R., &amp; James, A. (2018). An Evaluation of Specialist Mentoring for University Students with Autism Spectrum Disorders and Mental Health Conditions,  </w:t>
      </w:r>
      <w:r w:rsidRPr="00F6250D">
        <w:rPr>
          <w:i/>
          <w:iCs/>
        </w:rPr>
        <w:t>Autism Dev Disord, 48</w:t>
      </w:r>
      <w:r w:rsidRPr="00F6250D">
        <w:t>, 694–707.</w:t>
      </w:r>
    </w:p>
    <w:p w14:paraId="5125E16E" w14:textId="517E0B5E" w:rsidR="00237C76" w:rsidRPr="00F66932" w:rsidRDefault="00237C76" w:rsidP="004930F3">
      <w:pPr>
        <w:rPr>
          <w:rFonts w:ascii="Times New Roman" w:hAnsi="Times New Roman" w:cs="Times New Roman"/>
          <w:lang w:val="en-GB"/>
        </w:rPr>
      </w:pPr>
      <w:r w:rsidRPr="00F6250D">
        <w:t xml:space="preserve">MacCullagh, L., Bosanquet, A., &amp; Badcock, N. A. (2017). University Students with Dyslexia: A Qualitative Exploratory Study of Learning Practices, Challenges and Strategies. </w:t>
      </w:r>
      <w:r w:rsidRPr="00F66932">
        <w:rPr>
          <w:i/>
          <w:iCs/>
          <w:lang w:val="en-GB"/>
        </w:rPr>
        <w:t>Dyslexia</w:t>
      </w:r>
      <w:r w:rsidRPr="00F66932">
        <w:rPr>
          <w:lang w:val="en-GB"/>
        </w:rPr>
        <w:t xml:space="preserve">, </w:t>
      </w:r>
      <w:r w:rsidRPr="00F66932">
        <w:rPr>
          <w:i/>
          <w:iCs/>
          <w:lang w:val="en-GB"/>
        </w:rPr>
        <w:t>23</w:t>
      </w:r>
      <w:r w:rsidRPr="00F66932">
        <w:rPr>
          <w:lang w:val="en-GB"/>
        </w:rPr>
        <w:t xml:space="preserve">(1), 3–23. </w:t>
      </w:r>
    </w:p>
    <w:p w14:paraId="35460850" w14:textId="30C22625" w:rsidR="00237C76" w:rsidRPr="00F6250D" w:rsidRDefault="00237C76" w:rsidP="004930F3">
      <w:pPr>
        <w:rPr>
          <w:rFonts w:ascii="Times New Roman" w:hAnsi="Times New Roman" w:cs="Times New Roman"/>
        </w:rPr>
      </w:pPr>
      <w:r w:rsidRPr="00F66932">
        <w:rPr>
          <w:lang w:val="en-GB"/>
        </w:rPr>
        <w:t xml:space="preserve">Mann, F., Bone, J.K., Lloyd-Evans, B. et al. </w:t>
      </w:r>
      <w:r w:rsidRPr="00F6250D">
        <w:t xml:space="preserve">(2017). A life less lonely: the state of the art in interventions to reduce loneliness in people with mental health problems. </w:t>
      </w:r>
      <w:r w:rsidRPr="00F6250D">
        <w:rPr>
          <w:i/>
          <w:iCs/>
        </w:rPr>
        <w:t>Social Psychiatry and Psychiatric Epidemiology, 52</w:t>
      </w:r>
      <w:r w:rsidRPr="00F6250D">
        <w:t>, 627–638. </w:t>
      </w:r>
    </w:p>
    <w:p w14:paraId="6C76E537" w14:textId="24A99E2D" w:rsidR="00237C76" w:rsidRPr="0036074D" w:rsidRDefault="00237C76" w:rsidP="004930F3">
      <w:pPr>
        <w:rPr>
          <w:rFonts w:ascii="Times New Roman" w:hAnsi="Times New Roman" w:cs="Times New Roman"/>
        </w:rPr>
      </w:pPr>
      <w:r w:rsidRPr="00F6250D">
        <w:t>Markoulakis, R., &amp; Kirsh, B. (2013). Difficulties for university students with mental health problems: A critical interpretive synthesis. </w:t>
      </w:r>
      <w:r w:rsidRPr="00F6250D">
        <w:rPr>
          <w:i/>
          <w:iCs/>
        </w:rPr>
        <w:t>Review of Higher Education, 37</w:t>
      </w:r>
      <w:r w:rsidRPr="00F6250D">
        <w:t>(1), 77-100.</w:t>
      </w:r>
    </w:p>
    <w:p w14:paraId="28445B67" w14:textId="77777777" w:rsidR="00237C76" w:rsidRPr="00F6250D" w:rsidRDefault="00237C76" w:rsidP="004930F3">
      <w:pPr>
        <w:rPr>
          <w:rFonts w:ascii="Times New Roman" w:eastAsia="Times New Roman" w:hAnsi="Times New Roman" w:cs="Times New Roman"/>
        </w:rPr>
      </w:pPr>
    </w:p>
    <w:p w14:paraId="201C3884" w14:textId="3987C34F" w:rsidR="00237C76" w:rsidRPr="00604BA7" w:rsidRDefault="00237C76" w:rsidP="004930F3">
      <w:pPr>
        <w:rPr>
          <w:rFonts w:ascii="Times New Roman" w:hAnsi="Times New Roman" w:cs="Times New Roman"/>
        </w:rPr>
      </w:pPr>
      <w:r w:rsidRPr="00F6250D">
        <w:lastRenderedPageBreak/>
        <w:t xml:space="preserve">Mazurek, M. (2014). Loneliness, friendship, and well-being in adults with autism spectrum disorders. </w:t>
      </w:r>
      <w:r w:rsidRPr="00F6250D">
        <w:rPr>
          <w:i/>
          <w:iCs/>
        </w:rPr>
        <w:t>Autism: The International Journal of Research and Practice, 18</w:t>
      </w:r>
      <w:r w:rsidRPr="00F6250D">
        <w:t>, 223–232.</w:t>
      </w:r>
    </w:p>
    <w:p w14:paraId="75B0D3E0" w14:textId="285C6DC4" w:rsidR="00237C76" w:rsidRPr="00F6250D" w:rsidRDefault="00237C76" w:rsidP="004930F3">
      <w:pPr>
        <w:rPr>
          <w:rFonts w:ascii="Times New Roman" w:hAnsi="Times New Roman" w:cs="Times New Roman"/>
        </w:rPr>
      </w:pPr>
      <w:r w:rsidRPr="00F6250D">
        <w:t>Megivern, D., Pellerito, S., &amp; Mowbray, C. (2003). Barriers to higher education for individuals with psychiatric disabilities. Psychiatric Rehabilitation Journal, 26(3), 217–231.</w:t>
      </w:r>
    </w:p>
    <w:p w14:paraId="1BBD33DC" w14:textId="79E38FD6" w:rsidR="00237C76" w:rsidRPr="00036E85" w:rsidRDefault="00237C76" w:rsidP="004930F3">
      <w:pPr>
        <w:rPr>
          <w:rFonts w:ascii="Times New Roman" w:hAnsi="Times New Roman" w:cs="Times New Roman"/>
        </w:rPr>
      </w:pPr>
      <w:r w:rsidRPr="00F6250D">
        <w:t xml:space="preserve">Mortimore, T. (2013). Dyslexia in higher education: creating a fully inclusive institution. </w:t>
      </w:r>
      <w:r>
        <w:tab/>
      </w:r>
      <w:r w:rsidRPr="00F6250D">
        <w:rPr>
          <w:i/>
          <w:iCs/>
        </w:rPr>
        <w:t>Journal of Research in Special Educational Needs</w:t>
      </w:r>
      <w:r w:rsidRPr="00F6250D">
        <w:t xml:space="preserve">, </w:t>
      </w:r>
      <w:r w:rsidRPr="00F6250D">
        <w:rPr>
          <w:i/>
          <w:iCs/>
        </w:rPr>
        <w:t>13</w:t>
      </w:r>
      <w:r w:rsidRPr="00F6250D">
        <w:t xml:space="preserve">(1), 38–47. </w:t>
      </w:r>
    </w:p>
    <w:p w14:paraId="447B3F96" w14:textId="0C88F560" w:rsidR="00237C76" w:rsidRDefault="00237C76" w:rsidP="004930F3">
      <w:r w:rsidRPr="00F6250D">
        <w:t xml:space="preserve">Mulcahy, P. (2012). How AT-based specialist SPLD support strategies are more effective when meeting the students point of need in the context of the Disabled Students </w:t>
      </w:r>
      <w:r>
        <w:tab/>
      </w:r>
      <w:r w:rsidRPr="00F6250D">
        <w:t xml:space="preserve">Allowance Scheme. </w:t>
      </w:r>
      <w:r w:rsidRPr="00F6250D">
        <w:rPr>
          <w:i/>
          <w:iCs/>
        </w:rPr>
        <w:t>Journal of Inclusive Practice in Further and Higher Education, 4</w:t>
      </w:r>
      <w:r w:rsidRPr="00F6250D">
        <w:t>(1), 42-56. </w:t>
      </w:r>
    </w:p>
    <w:p w14:paraId="47432DF7" w14:textId="7D3A29B4" w:rsidR="00237C76" w:rsidRPr="005A79B2" w:rsidRDefault="00237C76" w:rsidP="004930F3">
      <w:r w:rsidRPr="005A79B2">
        <w:t xml:space="preserve">Nightingale, K. P., Anderson, V., Onens, S., Fazil, Q., &amp; Davies, H. (2019). Developing the inclusive curriculum: Is supplementary lecture recording an effective approach in supporting students with Specific Learning Difficulties (SpLDs)? </w:t>
      </w:r>
      <w:r w:rsidRPr="005A79B2">
        <w:rPr>
          <w:i/>
          <w:iCs/>
        </w:rPr>
        <w:t>Computers &amp; Education</w:t>
      </w:r>
      <w:r w:rsidRPr="005A79B2">
        <w:t xml:space="preserve">, </w:t>
      </w:r>
      <w:r w:rsidRPr="005A79B2">
        <w:rPr>
          <w:i/>
          <w:iCs/>
        </w:rPr>
        <w:t>130</w:t>
      </w:r>
      <w:r w:rsidRPr="005A79B2">
        <w:t xml:space="preserve">, 13–25. </w:t>
      </w:r>
    </w:p>
    <w:p w14:paraId="774739B7" w14:textId="4337ABD3" w:rsidR="00237C76" w:rsidRPr="00F6250D" w:rsidRDefault="00237C76" w:rsidP="004930F3">
      <w:pPr>
        <w:rPr>
          <w:rFonts w:ascii="Times New Roman" w:hAnsi="Times New Roman" w:cs="Times New Roman"/>
        </w:rPr>
      </w:pPr>
      <w:r w:rsidRPr="00F6250D">
        <w:t xml:space="preserve">Nora, A., &amp; Crisp, G. (2007). Mentoring students: Conceptualizing and validating the multi-dimensions of a support system. </w:t>
      </w:r>
      <w:r w:rsidRPr="00F6250D">
        <w:rPr>
          <w:i/>
          <w:iCs/>
        </w:rPr>
        <w:t>Journal of College Student Retention: Research, Theory &amp; Practice, 9</w:t>
      </w:r>
      <w:r w:rsidRPr="00F6250D">
        <w:t>(3), 337–356.</w:t>
      </w:r>
    </w:p>
    <w:p w14:paraId="35F1574E" w14:textId="04B6E91D" w:rsidR="00604BA7" w:rsidRPr="00604BA7" w:rsidRDefault="00237C76" w:rsidP="004930F3">
      <w:pPr>
        <w:rPr>
          <w:rFonts w:ascii="Times New Roman" w:hAnsi="Times New Roman" w:cs="Times New Roman"/>
        </w:rPr>
      </w:pPr>
      <w:r w:rsidRPr="00F6250D">
        <w:t xml:space="preserve">Office for Students. (2019). </w:t>
      </w:r>
      <w:r w:rsidRPr="00F6250D">
        <w:rPr>
          <w:i/>
          <w:iCs/>
        </w:rPr>
        <w:t xml:space="preserve">Mental Health: Are all Students being properly supported? </w:t>
      </w:r>
      <w:r>
        <w:rPr>
          <w:i/>
          <w:iCs/>
        </w:rPr>
        <w:tab/>
      </w:r>
      <w:r w:rsidR="00604BA7">
        <w:t xml:space="preserve">Available online: </w:t>
      </w:r>
      <w:hyperlink r:id="rId10" w:history="1">
        <w:r w:rsidR="00604BA7" w:rsidRPr="008C10A7">
          <w:rPr>
            <w:rStyle w:val="Hyperlink"/>
          </w:rPr>
          <w:t>https://www.officeforstudents.org.uk/publications/mental-health-are-all-students-being-properly-supported/</w:t>
        </w:r>
      </w:hyperlink>
      <w:r w:rsidR="00604BA7">
        <w:t xml:space="preserve"> [Accessed 3</w:t>
      </w:r>
      <w:r w:rsidR="00604BA7" w:rsidRPr="00604BA7">
        <w:rPr>
          <w:vertAlign w:val="superscript"/>
        </w:rPr>
        <w:t>rd</w:t>
      </w:r>
      <w:r w:rsidR="00604BA7">
        <w:t xml:space="preserve"> December 2020]</w:t>
      </w:r>
    </w:p>
    <w:p w14:paraId="0A100666" w14:textId="7819BC19" w:rsidR="00237C76" w:rsidRPr="00F6250D" w:rsidRDefault="00237C76" w:rsidP="004930F3">
      <w:pPr>
        <w:rPr>
          <w:rFonts w:ascii="Times New Roman" w:hAnsi="Times New Roman" w:cs="Times New Roman"/>
        </w:rPr>
      </w:pPr>
      <w:r w:rsidRPr="00F6250D">
        <w:t xml:space="preserve">Pinder-Amaker, S. (2014). Identifying the unmet needs of college students on the autism spectrum. </w:t>
      </w:r>
      <w:r w:rsidRPr="00F6250D">
        <w:rPr>
          <w:i/>
          <w:iCs/>
        </w:rPr>
        <w:t>Harvard Review of Psychiatry, 22</w:t>
      </w:r>
      <w:r w:rsidRPr="00F6250D">
        <w:t>, 125–137.</w:t>
      </w:r>
    </w:p>
    <w:p w14:paraId="0CB54268" w14:textId="1EEF5DB1" w:rsidR="00237C76" w:rsidRPr="00F6250D" w:rsidRDefault="00237C76" w:rsidP="004930F3">
      <w:pPr>
        <w:rPr>
          <w:rFonts w:ascii="Times New Roman" w:eastAsia="Times New Roman" w:hAnsi="Times New Roman" w:cs="Times New Roman"/>
        </w:rPr>
      </w:pPr>
      <w:r w:rsidRPr="00F6250D">
        <w:t xml:space="preserve">Richardson, J. T. E. (2009). The academic attainment of students with disabilities in UK higher education. </w:t>
      </w:r>
      <w:r w:rsidRPr="00F6250D">
        <w:rPr>
          <w:i/>
          <w:iCs/>
        </w:rPr>
        <w:t>Studies in Higher Education, 34</w:t>
      </w:r>
      <w:r w:rsidRPr="00F6250D">
        <w:t xml:space="preserve">(2), 123–137. </w:t>
      </w:r>
    </w:p>
    <w:p w14:paraId="20C1400A" w14:textId="5FEA1715" w:rsidR="00237C76" w:rsidRPr="00F6250D" w:rsidRDefault="00237C76" w:rsidP="004930F3">
      <w:pPr>
        <w:rPr>
          <w:rFonts w:ascii="Times New Roman" w:hAnsi="Times New Roman" w:cs="Times New Roman"/>
        </w:rPr>
      </w:pPr>
      <w:r w:rsidRPr="00F6250D">
        <w:t xml:space="preserve">Richardson, J.T., Wydell, T.N. (2003). The representation and attainment of students with dyslexia in UK higher education. </w:t>
      </w:r>
      <w:r w:rsidRPr="00F6250D">
        <w:rPr>
          <w:i/>
          <w:iCs/>
        </w:rPr>
        <w:t>Reading and Writing, 16</w:t>
      </w:r>
      <w:r w:rsidRPr="00F6250D">
        <w:t>, 475–503.</w:t>
      </w:r>
    </w:p>
    <w:p w14:paraId="2EA44C66" w14:textId="32845AEB" w:rsidR="00237C76" w:rsidRPr="00F6250D" w:rsidRDefault="00237C76" w:rsidP="004930F3">
      <w:pPr>
        <w:rPr>
          <w:rFonts w:ascii="Times New Roman" w:hAnsi="Times New Roman" w:cs="Times New Roman"/>
        </w:rPr>
      </w:pPr>
      <w:r w:rsidRPr="00F6250D">
        <w:t xml:space="preserve">Roberts, N., &amp; Birmingham, E. (2017). Mentoring University Students with </w:t>
      </w:r>
      <w:r>
        <w:t>ASC</w:t>
      </w:r>
      <w:r w:rsidRPr="00F6250D">
        <w:t xml:space="preserve">: A Mentee-centered Approach. </w:t>
      </w:r>
      <w:r w:rsidRPr="00F6250D">
        <w:rPr>
          <w:i/>
          <w:iCs/>
        </w:rPr>
        <w:t>J Autism Dev Disord, 47</w:t>
      </w:r>
      <w:r w:rsidRPr="00F6250D">
        <w:t>, 1038–1050.</w:t>
      </w:r>
    </w:p>
    <w:p w14:paraId="48F12BDC" w14:textId="77777777" w:rsidR="0035616E" w:rsidRDefault="00237C76" w:rsidP="004930F3">
      <w:pPr>
        <w:rPr>
          <w:rFonts w:ascii="Times New Roman" w:hAnsi="Times New Roman" w:cs="Times New Roman"/>
        </w:rPr>
      </w:pPr>
      <w:r w:rsidRPr="00F6250D">
        <w:t xml:space="preserve">Rowlands, A., Abbott, S., Bevere, G., &amp; Roberts, C. M. (2013). Medical students’ perceptions and understanding of their specific learning difficulties. </w:t>
      </w:r>
      <w:r w:rsidRPr="00F6250D">
        <w:rPr>
          <w:i/>
          <w:iCs/>
        </w:rPr>
        <w:t>International Journal of Medical Education, 4</w:t>
      </w:r>
      <w:r w:rsidRPr="00F6250D">
        <w:t xml:space="preserve">, 200–206. </w:t>
      </w:r>
    </w:p>
    <w:p w14:paraId="4225F30D" w14:textId="2E0BA4BB" w:rsidR="00237C76" w:rsidRPr="00F6250D" w:rsidRDefault="00237C76" w:rsidP="004930F3">
      <w:pPr>
        <w:rPr>
          <w:rFonts w:ascii="Times New Roman" w:hAnsi="Times New Roman" w:cs="Times New Roman"/>
        </w:rPr>
      </w:pPr>
      <w:r w:rsidRPr="00F6250D">
        <w:lastRenderedPageBreak/>
        <w:t xml:space="preserve">Salzer, M.S. (2012). A comparative study of campus experiences of college students with mental illness vs. a general college sample. </w:t>
      </w:r>
      <w:r w:rsidRPr="00F6250D">
        <w:rPr>
          <w:i/>
          <w:iCs/>
        </w:rPr>
        <w:t>Journal of American College Health, 60</w:t>
      </w:r>
      <w:r w:rsidRPr="00F6250D">
        <w:t>(1), 1-7.</w:t>
      </w:r>
    </w:p>
    <w:p w14:paraId="60B2E75D" w14:textId="22500764" w:rsidR="00237C76" w:rsidRPr="00C67A63" w:rsidRDefault="00237C76" w:rsidP="004930F3">
      <w:pPr>
        <w:rPr>
          <w:rFonts w:ascii="Times New Roman" w:hAnsi="Times New Roman" w:cs="Times New Roman"/>
        </w:rPr>
      </w:pPr>
      <w:r w:rsidRPr="008548CF">
        <w:rPr>
          <w:lang w:val="en-GB"/>
        </w:rPr>
        <w:t xml:space="preserve">Savoji, A. P., &amp; Ganji, K. (2013). </w:t>
      </w:r>
      <w:r w:rsidRPr="00F6250D">
        <w:t xml:space="preserve">Increasing Mental Health of University Students through Life Skills Training (LST). </w:t>
      </w:r>
      <w:r w:rsidRPr="00F6250D">
        <w:rPr>
          <w:i/>
          <w:iCs/>
        </w:rPr>
        <w:t xml:space="preserve">Procedia - Social and Behavioral Sciences, 84(The 3rd </w:t>
      </w:r>
      <w:r>
        <w:rPr>
          <w:i/>
          <w:iCs/>
        </w:rPr>
        <w:tab/>
      </w:r>
      <w:r w:rsidRPr="00F6250D">
        <w:rPr>
          <w:i/>
          <w:iCs/>
        </w:rPr>
        <w:t xml:space="preserve">World Conference on Psychology, Counseling and Guidance, WCPCG-2012), </w:t>
      </w:r>
      <w:r w:rsidRPr="00F6250D">
        <w:t>1255–1259. </w:t>
      </w:r>
    </w:p>
    <w:p w14:paraId="525A37F1" w14:textId="0DA0B0C3" w:rsidR="0035616E" w:rsidRPr="0035616E" w:rsidRDefault="00237C76" w:rsidP="004930F3">
      <w:pPr>
        <w:rPr>
          <w:rFonts w:ascii="Times New Roman" w:hAnsi="Times New Roman" w:cs="Times New Roman"/>
        </w:rPr>
      </w:pPr>
      <w:r w:rsidRPr="00F6250D">
        <w:t>Shackle, S. (2019).</w:t>
      </w:r>
      <w:r w:rsidRPr="00F6250D">
        <w:rPr>
          <w:i/>
          <w:iCs/>
        </w:rPr>
        <w:t xml:space="preserve"> ‘The way universities are run is making us ill’: inside the student mental health crisis’. </w:t>
      </w:r>
      <w:r w:rsidR="0035616E">
        <w:t xml:space="preserve">Available online: </w:t>
      </w:r>
      <w:hyperlink r:id="rId11" w:history="1">
        <w:r w:rsidR="0035616E" w:rsidRPr="0035616E">
          <w:rPr>
            <w:rStyle w:val="Hyperlink"/>
            <w:rFonts w:cstheme="minorHAnsi"/>
            <w:szCs w:val="28"/>
          </w:rPr>
          <w:t>https://www.theguardian.com/society/2019/sep/27/anxiety-mental-breakdowns-depression-uk-students</w:t>
        </w:r>
      </w:hyperlink>
      <w:r w:rsidR="0035616E">
        <w:rPr>
          <w:rFonts w:ascii="Times New Roman" w:hAnsi="Times New Roman" w:cs="Times New Roman"/>
        </w:rPr>
        <w:t xml:space="preserve"> </w:t>
      </w:r>
      <w:r w:rsidR="0035616E">
        <w:t xml:space="preserve"> [Accessed 1</w:t>
      </w:r>
      <w:r w:rsidR="0035616E" w:rsidRPr="0035616E">
        <w:rPr>
          <w:vertAlign w:val="superscript"/>
        </w:rPr>
        <w:t>st</w:t>
      </w:r>
      <w:r w:rsidR="0035616E">
        <w:t xml:space="preserve"> October 2020] </w:t>
      </w:r>
    </w:p>
    <w:p w14:paraId="4CE8340C" w14:textId="7FD0ABB0" w:rsidR="00237C76" w:rsidRPr="00F6250D" w:rsidRDefault="00237C76" w:rsidP="004930F3">
      <w:pPr>
        <w:rPr>
          <w:rFonts w:ascii="Times New Roman" w:hAnsi="Times New Roman" w:cs="Times New Roman"/>
        </w:rPr>
      </w:pPr>
      <w:r w:rsidRPr="00F6250D">
        <w:t xml:space="preserve">Shadowen, N. L., Williamson, A. A., Guerra, N. G., Ammigan, R., &amp; Drexler, M. L. (2019). Prevalence and Correlates of Depressive Symptoms among International Students: </w:t>
      </w:r>
      <w:r>
        <w:tab/>
      </w:r>
      <w:r w:rsidRPr="00F6250D">
        <w:t xml:space="preserve">Implications for University Support Offices. </w:t>
      </w:r>
      <w:r w:rsidRPr="00F6250D">
        <w:rPr>
          <w:i/>
          <w:iCs/>
        </w:rPr>
        <w:t>Journal of International Students, 9</w:t>
      </w:r>
      <w:r w:rsidRPr="00F6250D">
        <w:t>(1), 129–148. </w:t>
      </w:r>
    </w:p>
    <w:p w14:paraId="3AD08067" w14:textId="035779F9" w:rsidR="00237C76" w:rsidRPr="00F6250D" w:rsidRDefault="00237C76" w:rsidP="004930F3">
      <w:pPr>
        <w:rPr>
          <w:rFonts w:ascii="Times New Roman" w:hAnsi="Times New Roman" w:cs="Times New Roman"/>
        </w:rPr>
      </w:pPr>
      <w:r w:rsidRPr="00F6250D">
        <w:t xml:space="preserve">Siew, C.T., Mazzucchelli, T.G., Rooney, R., Girdler, S. (2017). A specialist peer mentoring </w:t>
      </w:r>
      <w:r>
        <w:tab/>
      </w:r>
      <w:r w:rsidRPr="00F6250D">
        <w:t xml:space="preserve">program for university students on the autism spectrum: A pilot study. </w:t>
      </w:r>
      <w:r w:rsidRPr="00F6250D">
        <w:rPr>
          <w:i/>
          <w:iCs/>
        </w:rPr>
        <w:t>PLoS ONE, 12</w:t>
      </w:r>
      <w:r w:rsidRPr="00F6250D">
        <w:t>(7),</w:t>
      </w:r>
      <w:r>
        <w:rPr>
          <w:rFonts w:ascii="Times New Roman" w:hAnsi="Times New Roman" w:cs="Times New Roman"/>
        </w:rPr>
        <w:t xml:space="preserve"> </w:t>
      </w:r>
      <w:r w:rsidRPr="00F6250D">
        <w:t>e0180854.</w:t>
      </w:r>
    </w:p>
    <w:p w14:paraId="44AF82E9" w14:textId="35DE0D18" w:rsidR="00237C76" w:rsidRPr="00036E85" w:rsidRDefault="00237C76" w:rsidP="004930F3">
      <w:pPr>
        <w:rPr>
          <w:rFonts w:ascii="Times New Roman" w:hAnsi="Times New Roman" w:cs="Times New Roman"/>
        </w:rPr>
      </w:pPr>
      <w:r w:rsidRPr="00F6250D">
        <w:t xml:space="preserve">Tamin, S. K. (2013). Relevance of mental health issues in university student dropouts. </w:t>
      </w:r>
      <w:r w:rsidRPr="00F6250D">
        <w:rPr>
          <w:i/>
          <w:iCs/>
        </w:rPr>
        <w:t>Occupational Medicine, 63</w:t>
      </w:r>
      <w:r w:rsidRPr="00F6250D">
        <w:t>(6), 410–414.</w:t>
      </w:r>
      <w:r w:rsidR="0035616E" w:rsidRPr="00036E85">
        <w:rPr>
          <w:rFonts w:ascii="Times New Roman" w:hAnsi="Times New Roman" w:cs="Times New Roman"/>
        </w:rPr>
        <w:t xml:space="preserve"> </w:t>
      </w:r>
    </w:p>
    <w:p w14:paraId="0496ABCA" w14:textId="1F5C780C" w:rsidR="00237C76" w:rsidRPr="00F6250D" w:rsidRDefault="00237C76" w:rsidP="004930F3">
      <w:pPr>
        <w:rPr>
          <w:rFonts w:ascii="Times New Roman" w:eastAsia="Times New Roman" w:hAnsi="Times New Roman" w:cs="Times New Roman"/>
        </w:rPr>
      </w:pPr>
      <w:r w:rsidRPr="00F6250D">
        <w:t xml:space="preserve">Thompson, C., McDonald, J., Kidd, T., Falkmer, T., Bölte, S., &amp; Girdler, S. (2020). “I don’t want to be a patient”: Peer mentoring partnership fosters communication for autistic university students. </w:t>
      </w:r>
      <w:r w:rsidRPr="00F6250D">
        <w:rPr>
          <w:i/>
          <w:iCs/>
        </w:rPr>
        <w:t>Scandinavian Journal of Occupational Therapy,</w:t>
      </w:r>
      <w:r w:rsidRPr="00F6250D">
        <w:t xml:space="preserve"> 1–16. </w:t>
      </w:r>
      <w:r>
        <w:tab/>
      </w:r>
    </w:p>
    <w:p w14:paraId="4780F4F2" w14:textId="78F65E87" w:rsidR="00237C76" w:rsidRPr="0035616E" w:rsidRDefault="00237C76" w:rsidP="004930F3">
      <w:pPr>
        <w:rPr>
          <w:rFonts w:ascii="Times New Roman" w:hAnsi="Times New Roman" w:cs="Times New Roman"/>
        </w:rPr>
      </w:pPr>
      <w:r w:rsidRPr="00F6250D">
        <w:t xml:space="preserve">Universities UK. (2015). </w:t>
      </w:r>
      <w:r w:rsidRPr="00F6250D">
        <w:rPr>
          <w:i/>
          <w:iCs/>
        </w:rPr>
        <w:t xml:space="preserve">Student mental wellbeing in higher education Good practice guide. </w:t>
      </w:r>
      <w:r w:rsidR="0035616E" w:rsidRPr="0035616E">
        <w:t>Available online:</w:t>
      </w:r>
      <w:r w:rsidR="0035616E">
        <w:rPr>
          <w:i/>
          <w:iCs/>
        </w:rPr>
        <w:t xml:space="preserve"> </w:t>
      </w:r>
      <w:hyperlink r:id="rId12" w:history="1">
        <w:r w:rsidR="0035616E" w:rsidRPr="008C10A7">
          <w:rPr>
            <w:rStyle w:val="Hyperlink"/>
          </w:rPr>
          <w:t>https://www.universitiesuk.ac.uk/policy-and-analysis/reports/Documents/2015/student-mental-wellbeing-in-he.pdf</w:t>
        </w:r>
      </w:hyperlink>
      <w:r w:rsidR="0035616E">
        <w:rPr>
          <w:rFonts w:eastAsia="Times New Roman"/>
        </w:rPr>
        <w:t xml:space="preserve"> [Accessed 21</w:t>
      </w:r>
      <w:r w:rsidR="0035616E" w:rsidRPr="0035616E">
        <w:rPr>
          <w:rFonts w:eastAsia="Times New Roman"/>
          <w:vertAlign w:val="superscript"/>
        </w:rPr>
        <w:t>st</w:t>
      </w:r>
      <w:r w:rsidR="0035616E">
        <w:rPr>
          <w:rFonts w:eastAsia="Times New Roman"/>
        </w:rPr>
        <w:t xml:space="preserve"> February 2020]</w:t>
      </w:r>
    </w:p>
    <w:p w14:paraId="3941C161" w14:textId="61003F64" w:rsidR="00237C76" w:rsidRPr="00CB0085" w:rsidRDefault="00237C76" w:rsidP="004930F3">
      <w:pPr>
        <w:rPr>
          <w:rFonts w:eastAsia="Times New Roman"/>
        </w:rPr>
      </w:pPr>
      <w:r w:rsidRPr="00CB0085">
        <w:rPr>
          <w:rFonts w:eastAsia="Times New Roman"/>
        </w:rPr>
        <w:t xml:space="preserve">Vincent, J. (2020). Employability for UK University Students and Graduates on the Autism </w:t>
      </w:r>
      <w:r>
        <w:rPr>
          <w:rFonts w:eastAsia="Times New Roman"/>
        </w:rPr>
        <w:tab/>
      </w:r>
      <w:r w:rsidRPr="00CB0085">
        <w:rPr>
          <w:rFonts w:eastAsia="Times New Roman"/>
        </w:rPr>
        <w:t xml:space="preserve">Spectrum: Mobilities and Materialities. </w:t>
      </w:r>
      <w:r w:rsidRPr="00CB0085">
        <w:rPr>
          <w:rFonts w:eastAsia="Times New Roman"/>
          <w:i/>
          <w:iCs/>
        </w:rPr>
        <w:t>Scandinavian Journal of Disability Research</w:t>
      </w:r>
      <w:r w:rsidRPr="00CB0085">
        <w:rPr>
          <w:rFonts w:eastAsia="Times New Roman"/>
        </w:rPr>
        <w:t xml:space="preserve">, </w:t>
      </w:r>
      <w:r w:rsidRPr="00CB0085">
        <w:rPr>
          <w:rFonts w:eastAsia="Times New Roman"/>
          <w:i/>
          <w:iCs/>
        </w:rPr>
        <w:t>22</w:t>
      </w:r>
      <w:r w:rsidRPr="00CB0085">
        <w:rPr>
          <w:rFonts w:eastAsia="Times New Roman"/>
        </w:rPr>
        <w:t xml:space="preserve">(1), 12–24. </w:t>
      </w:r>
    </w:p>
    <w:p w14:paraId="032018F6" w14:textId="72826BEE" w:rsidR="00237C76" w:rsidRDefault="00237C76" w:rsidP="004930F3">
      <w:r w:rsidRPr="00F6250D">
        <w:t xml:space="preserve">Walsh, L., Lydon, S. &amp; Healy, O. (2014). Employment and Vocational Skills Among Individuals with Autism Spectrum Disorder: Predictors, Impact, and Interventions. </w:t>
      </w:r>
      <w:r w:rsidRPr="00F6250D">
        <w:rPr>
          <w:i/>
          <w:iCs/>
        </w:rPr>
        <w:t>Review Journal of Autism and Developmental Disorders, 1</w:t>
      </w:r>
      <w:r w:rsidRPr="00F6250D">
        <w:t>, 266–275.</w:t>
      </w:r>
    </w:p>
    <w:p w14:paraId="016A3B5C" w14:textId="77777777" w:rsidR="00237C76" w:rsidRPr="00F6250D" w:rsidRDefault="00237C76" w:rsidP="004930F3">
      <w:pPr>
        <w:rPr>
          <w:rFonts w:ascii="Times New Roman" w:eastAsia="Times New Roman" w:hAnsi="Times New Roman" w:cs="Times New Roman"/>
        </w:rPr>
      </w:pPr>
    </w:p>
    <w:p w14:paraId="6373EF6B" w14:textId="10738F23" w:rsidR="00237C76" w:rsidRPr="00F6250D" w:rsidRDefault="00237C76" w:rsidP="004930F3">
      <w:pPr>
        <w:rPr>
          <w:rFonts w:ascii="Times New Roman" w:hAnsi="Times New Roman" w:cs="Times New Roman"/>
        </w:rPr>
      </w:pPr>
      <w:r w:rsidRPr="00F6250D">
        <w:lastRenderedPageBreak/>
        <w:t>World Health Organization. (2004). </w:t>
      </w:r>
      <w:r w:rsidRPr="00F6250D">
        <w:rPr>
          <w:i/>
          <w:iCs/>
        </w:rPr>
        <w:t xml:space="preserve">Promoting mental health: concepts, emerging evidence, practice (Summary Report). </w:t>
      </w:r>
      <w:r w:rsidRPr="00F6250D">
        <w:t>Geneva: World Health Organization. </w:t>
      </w:r>
    </w:p>
    <w:p w14:paraId="41FB4226" w14:textId="3C46E6FD" w:rsidR="00237C76" w:rsidRPr="00F6250D" w:rsidRDefault="00237C76" w:rsidP="004930F3">
      <w:pPr>
        <w:rPr>
          <w:rFonts w:ascii="Times New Roman" w:hAnsi="Times New Roman" w:cs="Times New Roman"/>
        </w:rPr>
      </w:pPr>
      <w:r w:rsidRPr="00F6250D">
        <w:t xml:space="preserve">Wray, J., Aspland, J., Taghzouit, J., &amp; Pace, K. (2013). Making the nursing curriculum more </w:t>
      </w:r>
      <w:r>
        <w:tab/>
      </w:r>
      <w:r w:rsidRPr="00F6250D">
        <w:t>inclusive for students with specific learning difficulties (SpLD): embedding specialist study skills into a core module. Nurse education today, 33(6), 602–607.</w:t>
      </w:r>
    </w:p>
    <w:p w14:paraId="3CB5E5ED" w14:textId="4BDC9AB9" w:rsidR="00237C76" w:rsidRPr="00F6250D" w:rsidRDefault="00237C76" w:rsidP="004930F3">
      <w:pPr>
        <w:rPr>
          <w:rFonts w:ascii="Times New Roman" w:hAnsi="Times New Roman" w:cs="Times New Roman"/>
        </w:rPr>
      </w:pPr>
      <w:r w:rsidRPr="00F6250D">
        <w:t xml:space="preserve">Zeedyk, S. M., Bolourian, Y., &amp; Blacher, J. (2019). University life with </w:t>
      </w:r>
      <w:r>
        <w:t>ASC</w:t>
      </w:r>
      <w:r w:rsidRPr="00F6250D">
        <w:t xml:space="preserve">: Faculty knowledge and student needs. </w:t>
      </w:r>
      <w:r w:rsidRPr="00F6250D">
        <w:rPr>
          <w:i/>
          <w:iCs/>
        </w:rPr>
        <w:t>Autism, 23</w:t>
      </w:r>
      <w:r w:rsidRPr="00F6250D">
        <w:t xml:space="preserve">(3), 726–736. </w:t>
      </w:r>
      <w:r>
        <w:tab/>
      </w:r>
    </w:p>
    <w:p w14:paraId="2942844C" w14:textId="77777777" w:rsidR="00237C76" w:rsidRPr="00F6250D" w:rsidRDefault="00237C76" w:rsidP="004930F3">
      <w:pPr>
        <w:rPr>
          <w:rFonts w:ascii="Times New Roman" w:eastAsia="Times New Roman" w:hAnsi="Times New Roman" w:cs="Times New Roman"/>
        </w:rPr>
      </w:pPr>
    </w:p>
    <w:p w14:paraId="77DA3138" w14:textId="77777777" w:rsidR="00237C76" w:rsidRDefault="00237C76" w:rsidP="00237C76"/>
    <w:p w14:paraId="089F3AD7" w14:textId="77777777" w:rsidR="00237C76" w:rsidRPr="001008D6" w:rsidRDefault="00237C76" w:rsidP="00237C76">
      <w:pPr>
        <w:rPr>
          <w:rFonts w:ascii="Arial" w:hAnsi="Arial" w:cs="Arial"/>
          <w:b/>
          <w:sz w:val="22"/>
          <w:szCs w:val="22"/>
        </w:rPr>
      </w:pPr>
    </w:p>
    <w:p w14:paraId="5FA10991" w14:textId="77777777" w:rsidR="00237C76" w:rsidRPr="0018660F" w:rsidRDefault="00237C76" w:rsidP="00237C76">
      <w:pPr>
        <w:rPr>
          <w:rFonts w:ascii="Arial" w:eastAsia="Times New Roman" w:hAnsi="Arial" w:cs="Arial"/>
          <w:sz w:val="22"/>
          <w:szCs w:val="22"/>
        </w:rPr>
      </w:pPr>
    </w:p>
    <w:p w14:paraId="3FF8FA1C" w14:textId="77777777" w:rsidR="00237C76" w:rsidRPr="0018660F" w:rsidRDefault="00237C76" w:rsidP="00237C76">
      <w:pPr>
        <w:rPr>
          <w:rFonts w:ascii="Arial" w:hAnsi="Arial" w:cs="Arial"/>
          <w:sz w:val="22"/>
          <w:szCs w:val="22"/>
        </w:rPr>
      </w:pPr>
    </w:p>
    <w:p w14:paraId="2115B312" w14:textId="77777777" w:rsidR="00004618" w:rsidRDefault="00957B25"/>
    <w:sectPr w:rsidR="00004618" w:rsidSect="00C81F4E">
      <w:footerReference w:type="default" r:id="rId13"/>
      <w:pgSz w:w="11900" w:h="16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CB64FB8" w14:textId="77777777" w:rsidR="00957B25" w:rsidRDefault="00957B25">
      <w:r>
        <w:separator/>
      </w:r>
    </w:p>
  </w:endnote>
  <w:endnote w:type="continuationSeparator" w:id="0">
    <w:p w14:paraId="0B27A757" w14:textId="77777777" w:rsidR="00957B25" w:rsidRDefault="00957B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15279838"/>
      <w:docPartObj>
        <w:docPartGallery w:val="Page Numbers (Bottom of Page)"/>
        <w:docPartUnique/>
      </w:docPartObj>
    </w:sdtPr>
    <w:sdtEndPr>
      <w:rPr>
        <w:noProof/>
      </w:rPr>
    </w:sdtEndPr>
    <w:sdtContent>
      <w:p w14:paraId="2DA1C3AA" w14:textId="77777777" w:rsidR="00717E9E" w:rsidRDefault="00237C76">
        <w:pPr>
          <w:pStyle w:val="Footer"/>
          <w:jc w:val="center"/>
        </w:pPr>
        <w:r>
          <w:fldChar w:fldCharType="begin"/>
        </w:r>
        <w:r>
          <w:instrText xml:space="preserve"> PAGE   \* MERGEFORMAT </w:instrText>
        </w:r>
        <w:r>
          <w:fldChar w:fldCharType="separate"/>
        </w:r>
        <w:r w:rsidR="00F66932">
          <w:rPr>
            <w:noProof/>
          </w:rPr>
          <w:t>1</w:t>
        </w:r>
        <w:r>
          <w:rPr>
            <w:noProof/>
          </w:rPr>
          <w:fldChar w:fldCharType="end"/>
        </w:r>
      </w:p>
    </w:sdtContent>
  </w:sdt>
  <w:p w14:paraId="31DC1BE9" w14:textId="77777777" w:rsidR="00717E9E" w:rsidRDefault="00957B2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89F3808" w14:textId="77777777" w:rsidR="00957B25" w:rsidRDefault="00957B25">
      <w:r>
        <w:separator/>
      </w:r>
    </w:p>
  </w:footnote>
  <w:footnote w:type="continuationSeparator" w:id="0">
    <w:p w14:paraId="1B19AB15" w14:textId="77777777" w:rsidR="00957B25" w:rsidRDefault="00957B2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7C76"/>
    <w:rsid w:val="000A50DD"/>
    <w:rsid w:val="00166FAB"/>
    <w:rsid w:val="00237C76"/>
    <w:rsid w:val="00262D3D"/>
    <w:rsid w:val="0035616E"/>
    <w:rsid w:val="0036074D"/>
    <w:rsid w:val="00423570"/>
    <w:rsid w:val="0043071A"/>
    <w:rsid w:val="004930F3"/>
    <w:rsid w:val="005E1632"/>
    <w:rsid w:val="00604BA7"/>
    <w:rsid w:val="006872C3"/>
    <w:rsid w:val="0069398C"/>
    <w:rsid w:val="006C7900"/>
    <w:rsid w:val="00780A4A"/>
    <w:rsid w:val="00837DB4"/>
    <w:rsid w:val="00957B25"/>
    <w:rsid w:val="00D65316"/>
    <w:rsid w:val="00E003B9"/>
    <w:rsid w:val="00F66932"/>
    <w:rsid w:val="00F940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1C8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1632"/>
    <w:pPr>
      <w:spacing w:after="120"/>
    </w:pPr>
    <w:rPr>
      <w:sz w:val="28"/>
      <w:lang w:val="en-US"/>
    </w:rPr>
  </w:style>
  <w:style w:type="paragraph" w:styleId="Heading1">
    <w:name w:val="heading 1"/>
    <w:basedOn w:val="Normal"/>
    <w:next w:val="Normal"/>
    <w:link w:val="Heading1Char"/>
    <w:uiPriority w:val="9"/>
    <w:qFormat/>
    <w:rsid w:val="005E1632"/>
    <w:pPr>
      <w:keepNext/>
      <w:keepLines/>
      <w:spacing w:before="240" w:after="0"/>
      <w:outlineLvl w:val="0"/>
    </w:pPr>
    <w:rPr>
      <w:rFonts w:eastAsiaTheme="majorEastAsia" w:cstheme="majorBidi"/>
      <w:b/>
      <w:sz w:val="32"/>
      <w:szCs w:val="32"/>
    </w:rPr>
  </w:style>
  <w:style w:type="paragraph" w:styleId="Heading2">
    <w:name w:val="heading 2"/>
    <w:basedOn w:val="Normal"/>
    <w:next w:val="Normal"/>
    <w:link w:val="Heading2Char"/>
    <w:uiPriority w:val="9"/>
    <w:unhideWhenUsed/>
    <w:qFormat/>
    <w:rsid w:val="005E1632"/>
    <w:pPr>
      <w:keepNext/>
      <w:keepLines/>
      <w:spacing w:before="40" w:after="0"/>
      <w:outlineLvl w:val="1"/>
    </w:pPr>
    <w:rPr>
      <w:rFonts w:eastAsiaTheme="majorEastAsia" w:cstheme="majorBidi"/>
      <w:b/>
      <w:szCs w:val="26"/>
    </w:rPr>
  </w:style>
  <w:style w:type="paragraph" w:styleId="Heading3">
    <w:name w:val="heading 3"/>
    <w:basedOn w:val="Normal"/>
    <w:next w:val="Normal"/>
    <w:link w:val="Heading3Char"/>
    <w:uiPriority w:val="9"/>
    <w:unhideWhenUsed/>
    <w:qFormat/>
    <w:rsid w:val="005E1632"/>
    <w:pPr>
      <w:keepNext/>
      <w:keepLines/>
      <w:spacing w:before="40" w:after="0"/>
      <w:outlineLvl w:val="2"/>
    </w:pPr>
    <w:rPr>
      <w:rFonts w:asciiTheme="majorHAnsi" w:eastAsiaTheme="majorEastAsia" w:hAnsiTheme="majorHAnsi" w:cstheme="majorBidi"/>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37C76"/>
    <w:pPr>
      <w:spacing w:before="100" w:beforeAutospacing="1" w:after="100" w:afterAutospacing="1"/>
    </w:pPr>
    <w:rPr>
      <w:rFonts w:ascii="Times New Roman" w:hAnsi="Times New Roman" w:cs="Times New Roman"/>
    </w:rPr>
  </w:style>
  <w:style w:type="paragraph" w:styleId="Header">
    <w:name w:val="header"/>
    <w:basedOn w:val="Normal"/>
    <w:link w:val="HeaderChar"/>
    <w:uiPriority w:val="99"/>
    <w:unhideWhenUsed/>
    <w:rsid w:val="00237C76"/>
    <w:pPr>
      <w:tabs>
        <w:tab w:val="center" w:pos="4513"/>
        <w:tab w:val="right" w:pos="9026"/>
      </w:tabs>
    </w:pPr>
  </w:style>
  <w:style w:type="character" w:customStyle="1" w:styleId="HeaderChar">
    <w:name w:val="Header Char"/>
    <w:basedOn w:val="DefaultParagraphFont"/>
    <w:link w:val="Header"/>
    <w:uiPriority w:val="99"/>
    <w:rsid w:val="00237C76"/>
    <w:rPr>
      <w:lang w:val="en-US"/>
    </w:rPr>
  </w:style>
  <w:style w:type="paragraph" w:styleId="Footer">
    <w:name w:val="footer"/>
    <w:basedOn w:val="Normal"/>
    <w:link w:val="FooterChar"/>
    <w:uiPriority w:val="99"/>
    <w:unhideWhenUsed/>
    <w:rsid w:val="00237C76"/>
    <w:pPr>
      <w:tabs>
        <w:tab w:val="center" w:pos="4513"/>
        <w:tab w:val="right" w:pos="9026"/>
      </w:tabs>
    </w:pPr>
  </w:style>
  <w:style w:type="character" w:customStyle="1" w:styleId="FooterChar">
    <w:name w:val="Footer Char"/>
    <w:basedOn w:val="DefaultParagraphFont"/>
    <w:link w:val="Footer"/>
    <w:uiPriority w:val="99"/>
    <w:rsid w:val="00237C76"/>
    <w:rPr>
      <w:lang w:val="en-US"/>
    </w:rPr>
  </w:style>
  <w:style w:type="character" w:styleId="Hyperlink">
    <w:name w:val="Hyperlink"/>
    <w:basedOn w:val="DefaultParagraphFont"/>
    <w:uiPriority w:val="99"/>
    <w:unhideWhenUsed/>
    <w:rsid w:val="00237C76"/>
    <w:rPr>
      <w:color w:val="0000FF"/>
      <w:u w:val="single"/>
    </w:rPr>
  </w:style>
  <w:style w:type="character" w:styleId="CommentReference">
    <w:name w:val="annotation reference"/>
    <w:basedOn w:val="DefaultParagraphFont"/>
    <w:uiPriority w:val="99"/>
    <w:semiHidden/>
    <w:unhideWhenUsed/>
    <w:rsid w:val="00237C76"/>
    <w:rPr>
      <w:sz w:val="16"/>
      <w:szCs w:val="16"/>
    </w:rPr>
  </w:style>
  <w:style w:type="paragraph" w:styleId="CommentText">
    <w:name w:val="annotation text"/>
    <w:basedOn w:val="Normal"/>
    <w:link w:val="CommentTextChar"/>
    <w:uiPriority w:val="99"/>
    <w:semiHidden/>
    <w:unhideWhenUsed/>
    <w:rsid w:val="00237C76"/>
    <w:rPr>
      <w:sz w:val="20"/>
      <w:szCs w:val="20"/>
    </w:rPr>
  </w:style>
  <w:style w:type="character" w:customStyle="1" w:styleId="CommentTextChar">
    <w:name w:val="Comment Text Char"/>
    <w:basedOn w:val="DefaultParagraphFont"/>
    <w:link w:val="CommentText"/>
    <w:uiPriority w:val="99"/>
    <w:semiHidden/>
    <w:rsid w:val="00237C76"/>
    <w:rPr>
      <w:sz w:val="20"/>
      <w:szCs w:val="20"/>
      <w:lang w:val="en-US"/>
    </w:rPr>
  </w:style>
  <w:style w:type="paragraph" w:styleId="BalloonText">
    <w:name w:val="Balloon Text"/>
    <w:basedOn w:val="Normal"/>
    <w:link w:val="BalloonTextChar"/>
    <w:uiPriority w:val="99"/>
    <w:semiHidden/>
    <w:unhideWhenUsed/>
    <w:rsid w:val="00237C76"/>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237C76"/>
    <w:rPr>
      <w:rFonts w:ascii="Times New Roman" w:hAnsi="Times New Roman" w:cs="Times New Roman"/>
      <w:sz w:val="18"/>
      <w:szCs w:val="18"/>
      <w:lang w:val="en-US"/>
    </w:rPr>
  </w:style>
  <w:style w:type="character" w:customStyle="1" w:styleId="Heading1Char">
    <w:name w:val="Heading 1 Char"/>
    <w:basedOn w:val="DefaultParagraphFont"/>
    <w:link w:val="Heading1"/>
    <w:uiPriority w:val="9"/>
    <w:rsid w:val="005E1632"/>
    <w:rPr>
      <w:rFonts w:eastAsiaTheme="majorEastAsia" w:cstheme="majorBidi"/>
      <w:b/>
      <w:sz w:val="32"/>
      <w:szCs w:val="32"/>
      <w:lang w:val="en-US"/>
    </w:rPr>
  </w:style>
  <w:style w:type="character" w:customStyle="1" w:styleId="Heading2Char">
    <w:name w:val="Heading 2 Char"/>
    <w:basedOn w:val="DefaultParagraphFont"/>
    <w:link w:val="Heading2"/>
    <w:uiPriority w:val="9"/>
    <w:rsid w:val="005E1632"/>
    <w:rPr>
      <w:rFonts w:eastAsiaTheme="majorEastAsia" w:cstheme="majorBidi"/>
      <w:b/>
      <w:sz w:val="28"/>
      <w:szCs w:val="26"/>
      <w:lang w:val="en-US"/>
    </w:rPr>
  </w:style>
  <w:style w:type="paragraph" w:styleId="Title">
    <w:name w:val="Title"/>
    <w:basedOn w:val="Normal"/>
    <w:next w:val="Normal"/>
    <w:link w:val="TitleChar"/>
    <w:uiPriority w:val="10"/>
    <w:qFormat/>
    <w:rsid w:val="005E1632"/>
    <w:pPr>
      <w:contextualSpacing/>
    </w:pPr>
    <w:rPr>
      <w:rFonts w:asciiTheme="majorHAnsi" w:eastAsiaTheme="majorEastAsia" w:hAnsiTheme="majorHAnsi" w:cstheme="majorBidi"/>
      <w:spacing w:val="-10"/>
      <w:kern w:val="28"/>
      <w:sz w:val="56"/>
      <w:szCs w:val="56"/>
      <w:lang w:val="en-GB" w:eastAsia="en-GB"/>
    </w:rPr>
  </w:style>
  <w:style w:type="character" w:customStyle="1" w:styleId="TitleChar">
    <w:name w:val="Title Char"/>
    <w:basedOn w:val="DefaultParagraphFont"/>
    <w:link w:val="Title"/>
    <w:uiPriority w:val="10"/>
    <w:rsid w:val="005E1632"/>
    <w:rPr>
      <w:rFonts w:asciiTheme="majorHAnsi" w:eastAsiaTheme="majorEastAsia" w:hAnsiTheme="majorHAnsi" w:cstheme="majorBidi"/>
      <w:spacing w:val="-10"/>
      <w:kern w:val="28"/>
      <w:sz w:val="56"/>
      <w:szCs w:val="56"/>
      <w:lang w:eastAsia="en-GB"/>
    </w:rPr>
  </w:style>
  <w:style w:type="character" w:customStyle="1" w:styleId="Heading3Char">
    <w:name w:val="Heading 3 Char"/>
    <w:basedOn w:val="DefaultParagraphFont"/>
    <w:link w:val="Heading3"/>
    <w:uiPriority w:val="9"/>
    <w:rsid w:val="005E1632"/>
    <w:rPr>
      <w:rFonts w:asciiTheme="majorHAnsi" w:eastAsiaTheme="majorEastAsia" w:hAnsiTheme="majorHAnsi" w:cstheme="majorBidi"/>
      <w:sz w:val="28"/>
      <w:u w:val="single"/>
      <w:lang w:val="en-US"/>
    </w:rPr>
  </w:style>
  <w:style w:type="character" w:customStyle="1" w:styleId="UnresolvedMention">
    <w:name w:val="Unresolved Mention"/>
    <w:basedOn w:val="DefaultParagraphFont"/>
    <w:uiPriority w:val="99"/>
    <w:semiHidden/>
    <w:unhideWhenUsed/>
    <w:rsid w:val="00604BA7"/>
    <w:rPr>
      <w:color w:val="605E5C"/>
      <w:shd w:val="clear" w:color="auto" w:fill="E1DFDD"/>
    </w:rPr>
  </w:style>
  <w:style w:type="character" w:styleId="FollowedHyperlink">
    <w:name w:val="FollowedHyperlink"/>
    <w:basedOn w:val="DefaultParagraphFont"/>
    <w:uiPriority w:val="99"/>
    <w:semiHidden/>
    <w:unhideWhenUsed/>
    <w:rsid w:val="00604BA7"/>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1632"/>
    <w:pPr>
      <w:spacing w:after="120"/>
    </w:pPr>
    <w:rPr>
      <w:sz w:val="28"/>
      <w:lang w:val="en-US"/>
    </w:rPr>
  </w:style>
  <w:style w:type="paragraph" w:styleId="Heading1">
    <w:name w:val="heading 1"/>
    <w:basedOn w:val="Normal"/>
    <w:next w:val="Normal"/>
    <w:link w:val="Heading1Char"/>
    <w:uiPriority w:val="9"/>
    <w:qFormat/>
    <w:rsid w:val="005E1632"/>
    <w:pPr>
      <w:keepNext/>
      <w:keepLines/>
      <w:spacing w:before="240" w:after="0"/>
      <w:outlineLvl w:val="0"/>
    </w:pPr>
    <w:rPr>
      <w:rFonts w:eastAsiaTheme="majorEastAsia" w:cstheme="majorBidi"/>
      <w:b/>
      <w:sz w:val="32"/>
      <w:szCs w:val="32"/>
    </w:rPr>
  </w:style>
  <w:style w:type="paragraph" w:styleId="Heading2">
    <w:name w:val="heading 2"/>
    <w:basedOn w:val="Normal"/>
    <w:next w:val="Normal"/>
    <w:link w:val="Heading2Char"/>
    <w:uiPriority w:val="9"/>
    <w:unhideWhenUsed/>
    <w:qFormat/>
    <w:rsid w:val="005E1632"/>
    <w:pPr>
      <w:keepNext/>
      <w:keepLines/>
      <w:spacing w:before="40" w:after="0"/>
      <w:outlineLvl w:val="1"/>
    </w:pPr>
    <w:rPr>
      <w:rFonts w:eastAsiaTheme="majorEastAsia" w:cstheme="majorBidi"/>
      <w:b/>
      <w:szCs w:val="26"/>
    </w:rPr>
  </w:style>
  <w:style w:type="paragraph" w:styleId="Heading3">
    <w:name w:val="heading 3"/>
    <w:basedOn w:val="Normal"/>
    <w:next w:val="Normal"/>
    <w:link w:val="Heading3Char"/>
    <w:uiPriority w:val="9"/>
    <w:unhideWhenUsed/>
    <w:qFormat/>
    <w:rsid w:val="005E1632"/>
    <w:pPr>
      <w:keepNext/>
      <w:keepLines/>
      <w:spacing w:before="40" w:after="0"/>
      <w:outlineLvl w:val="2"/>
    </w:pPr>
    <w:rPr>
      <w:rFonts w:asciiTheme="majorHAnsi" w:eastAsiaTheme="majorEastAsia" w:hAnsiTheme="majorHAnsi" w:cstheme="majorBidi"/>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37C76"/>
    <w:pPr>
      <w:spacing w:before="100" w:beforeAutospacing="1" w:after="100" w:afterAutospacing="1"/>
    </w:pPr>
    <w:rPr>
      <w:rFonts w:ascii="Times New Roman" w:hAnsi="Times New Roman" w:cs="Times New Roman"/>
    </w:rPr>
  </w:style>
  <w:style w:type="paragraph" w:styleId="Header">
    <w:name w:val="header"/>
    <w:basedOn w:val="Normal"/>
    <w:link w:val="HeaderChar"/>
    <w:uiPriority w:val="99"/>
    <w:unhideWhenUsed/>
    <w:rsid w:val="00237C76"/>
    <w:pPr>
      <w:tabs>
        <w:tab w:val="center" w:pos="4513"/>
        <w:tab w:val="right" w:pos="9026"/>
      </w:tabs>
    </w:pPr>
  </w:style>
  <w:style w:type="character" w:customStyle="1" w:styleId="HeaderChar">
    <w:name w:val="Header Char"/>
    <w:basedOn w:val="DefaultParagraphFont"/>
    <w:link w:val="Header"/>
    <w:uiPriority w:val="99"/>
    <w:rsid w:val="00237C76"/>
    <w:rPr>
      <w:lang w:val="en-US"/>
    </w:rPr>
  </w:style>
  <w:style w:type="paragraph" w:styleId="Footer">
    <w:name w:val="footer"/>
    <w:basedOn w:val="Normal"/>
    <w:link w:val="FooterChar"/>
    <w:uiPriority w:val="99"/>
    <w:unhideWhenUsed/>
    <w:rsid w:val="00237C76"/>
    <w:pPr>
      <w:tabs>
        <w:tab w:val="center" w:pos="4513"/>
        <w:tab w:val="right" w:pos="9026"/>
      </w:tabs>
    </w:pPr>
  </w:style>
  <w:style w:type="character" w:customStyle="1" w:styleId="FooterChar">
    <w:name w:val="Footer Char"/>
    <w:basedOn w:val="DefaultParagraphFont"/>
    <w:link w:val="Footer"/>
    <w:uiPriority w:val="99"/>
    <w:rsid w:val="00237C76"/>
    <w:rPr>
      <w:lang w:val="en-US"/>
    </w:rPr>
  </w:style>
  <w:style w:type="character" w:styleId="Hyperlink">
    <w:name w:val="Hyperlink"/>
    <w:basedOn w:val="DefaultParagraphFont"/>
    <w:uiPriority w:val="99"/>
    <w:unhideWhenUsed/>
    <w:rsid w:val="00237C76"/>
    <w:rPr>
      <w:color w:val="0000FF"/>
      <w:u w:val="single"/>
    </w:rPr>
  </w:style>
  <w:style w:type="character" w:styleId="CommentReference">
    <w:name w:val="annotation reference"/>
    <w:basedOn w:val="DefaultParagraphFont"/>
    <w:uiPriority w:val="99"/>
    <w:semiHidden/>
    <w:unhideWhenUsed/>
    <w:rsid w:val="00237C76"/>
    <w:rPr>
      <w:sz w:val="16"/>
      <w:szCs w:val="16"/>
    </w:rPr>
  </w:style>
  <w:style w:type="paragraph" w:styleId="CommentText">
    <w:name w:val="annotation text"/>
    <w:basedOn w:val="Normal"/>
    <w:link w:val="CommentTextChar"/>
    <w:uiPriority w:val="99"/>
    <w:semiHidden/>
    <w:unhideWhenUsed/>
    <w:rsid w:val="00237C76"/>
    <w:rPr>
      <w:sz w:val="20"/>
      <w:szCs w:val="20"/>
    </w:rPr>
  </w:style>
  <w:style w:type="character" w:customStyle="1" w:styleId="CommentTextChar">
    <w:name w:val="Comment Text Char"/>
    <w:basedOn w:val="DefaultParagraphFont"/>
    <w:link w:val="CommentText"/>
    <w:uiPriority w:val="99"/>
    <w:semiHidden/>
    <w:rsid w:val="00237C76"/>
    <w:rPr>
      <w:sz w:val="20"/>
      <w:szCs w:val="20"/>
      <w:lang w:val="en-US"/>
    </w:rPr>
  </w:style>
  <w:style w:type="paragraph" w:styleId="BalloonText">
    <w:name w:val="Balloon Text"/>
    <w:basedOn w:val="Normal"/>
    <w:link w:val="BalloonTextChar"/>
    <w:uiPriority w:val="99"/>
    <w:semiHidden/>
    <w:unhideWhenUsed/>
    <w:rsid w:val="00237C76"/>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237C76"/>
    <w:rPr>
      <w:rFonts w:ascii="Times New Roman" w:hAnsi="Times New Roman" w:cs="Times New Roman"/>
      <w:sz w:val="18"/>
      <w:szCs w:val="18"/>
      <w:lang w:val="en-US"/>
    </w:rPr>
  </w:style>
  <w:style w:type="character" w:customStyle="1" w:styleId="Heading1Char">
    <w:name w:val="Heading 1 Char"/>
    <w:basedOn w:val="DefaultParagraphFont"/>
    <w:link w:val="Heading1"/>
    <w:uiPriority w:val="9"/>
    <w:rsid w:val="005E1632"/>
    <w:rPr>
      <w:rFonts w:eastAsiaTheme="majorEastAsia" w:cstheme="majorBidi"/>
      <w:b/>
      <w:sz w:val="32"/>
      <w:szCs w:val="32"/>
      <w:lang w:val="en-US"/>
    </w:rPr>
  </w:style>
  <w:style w:type="character" w:customStyle="1" w:styleId="Heading2Char">
    <w:name w:val="Heading 2 Char"/>
    <w:basedOn w:val="DefaultParagraphFont"/>
    <w:link w:val="Heading2"/>
    <w:uiPriority w:val="9"/>
    <w:rsid w:val="005E1632"/>
    <w:rPr>
      <w:rFonts w:eastAsiaTheme="majorEastAsia" w:cstheme="majorBidi"/>
      <w:b/>
      <w:sz w:val="28"/>
      <w:szCs w:val="26"/>
      <w:lang w:val="en-US"/>
    </w:rPr>
  </w:style>
  <w:style w:type="paragraph" w:styleId="Title">
    <w:name w:val="Title"/>
    <w:basedOn w:val="Normal"/>
    <w:next w:val="Normal"/>
    <w:link w:val="TitleChar"/>
    <w:uiPriority w:val="10"/>
    <w:qFormat/>
    <w:rsid w:val="005E1632"/>
    <w:pPr>
      <w:contextualSpacing/>
    </w:pPr>
    <w:rPr>
      <w:rFonts w:asciiTheme="majorHAnsi" w:eastAsiaTheme="majorEastAsia" w:hAnsiTheme="majorHAnsi" w:cstheme="majorBidi"/>
      <w:spacing w:val="-10"/>
      <w:kern w:val="28"/>
      <w:sz w:val="56"/>
      <w:szCs w:val="56"/>
      <w:lang w:val="en-GB" w:eastAsia="en-GB"/>
    </w:rPr>
  </w:style>
  <w:style w:type="character" w:customStyle="1" w:styleId="TitleChar">
    <w:name w:val="Title Char"/>
    <w:basedOn w:val="DefaultParagraphFont"/>
    <w:link w:val="Title"/>
    <w:uiPriority w:val="10"/>
    <w:rsid w:val="005E1632"/>
    <w:rPr>
      <w:rFonts w:asciiTheme="majorHAnsi" w:eastAsiaTheme="majorEastAsia" w:hAnsiTheme="majorHAnsi" w:cstheme="majorBidi"/>
      <w:spacing w:val="-10"/>
      <w:kern w:val="28"/>
      <w:sz w:val="56"/>
      <w:szCs w:val="56"/>
      <w:lang w:eastAsia="en-GB"/>
    </w:rPr>
  </w:style>
  <w:style w:type="character" w:customStyle="1" w:styleId="Heading3Char">
    <w:name w:val="Heading 3 Char"/>
    <w:basedOn w:val="DefaultParagraphFont"/>
    <w:link w:val="Heading3"/>
    <w:uiPriority w:val="9"/>
    <w:rsid w:val="005E1632"/>
    <w:rPr>
      <w:rFonts w:asciiTheme="majorHAnsi" w:eastAsiaTheme="majorEastAsia" w:hAnsiTheme="majorHAnsi" w:cstheme="majorBidi"/>
      <w:sz w:val="28"/>
      <w:u w:val="single"/>
      <w:lang w:val="en-US"/>
    </w:rPr>
  </w:style>
  <w:style w:type="character" w:customStyle="1" w:styleId="UnresolvedMention">
    <w:name w:val="Unresolved Mention"/>
    <w:basedOn w:val="DefaultParagraphFont"/>
    <w:uiPriority w:val="99"/>
    <w:semiHidden/>
    <w:unhideWhenUsed/>
    <w:rsid w:val="00604BA7"/>
    <w:rPr>
      <w:color w:val="605E5C"/>
      <w:shd w:val="clear" w:color="auto" w:fill="E1DFDD"/>
    </w:rPr>
  </w:style>
  <w:style w:type="character" w:styleId="FollowedHyperlink">
    <w:name w:val="FollowedHyperlink"/>
    <w:basedOn w:val="DefaultParagraphFont"/>
    <w:uiPriority w:val="99"/>
    <w:semiHidden/>
    <w:unhideWhenUsed/>
    <w:rsid w:val="00604BA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ractitioners.slc.co.uk/media/1752/ssin-0719-autism-and-mental-health-final-for-issuing-september-2019.pdf"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doi.org/10.3389/fpsyg.2011.00270" TargetMode="External"/><Relationship Id="rId12" Type="http://schemas.openxmlformats.org/officeDocument/2006/relationships/hyperlink" Target="https://www.universitiesuk.ac.uk/policy-and-analysis/reports/Documents/2015/student-mental-wellbeing-in-he.pdf"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www.theguardian.com/society/2019/sep/27/anxiety-mental-breakdowns-depression-uk-students"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officeforstudents.org.uk/publications/mental-health-are-all-students-being-properly-supported/" TargetMode="External"/><Relationship Id="rId4" Type="http://schemas.openxmlformats.org/officeDocument/2006/relationships/webSettings" Target="webSettings.xml"/><Relationship Id="rId9" Type="http://schemas.openxmlformats.org/officeDocument/2006/relationships/hyperlink" Target="https://www.amanosupport.com/wp%20content/uploads/2018/03/NMH_Quality_Assurance_Framework_V2.0.pdf"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20</Pages>
  <Words>7238</Words>
  <Characters>41260</Characters>
  <Application>Microsoft Office Word</Application>
  <DocSecurity>0</DocSecurity>
  <Lines>343</Lines>
  <Paragraphs>96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48402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 Adams</dc:creator>
  <cp:lastModifiedBy>Janice Adams</cp:lastModifiedBy>
  <cp:revision>2</cp:revision>
  <dcterms:created xsi:type="dcterms:W3CDTF">2021-01-19T11:21:00Z</dcterms:created>
  <dcterms:modified xsi:type="dcterms:W3CDTF">2021-01-19T11:21:00Z</dcterms:modified>
</cp:coreProperties>
</file>