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0BE26" w14:textId="361B6679" w:rsidR="007F625E" w:rsidRPr="00A854C4" w:rsidRDefault="007F625E" w:rsidP="007F625E">
      <w:pPr>
        <w:pStyle w:val="Title"/>
      </w:pPr>
      <w:r w:rsidRPr="00A854C4">
        <w:t xml:space="preserve">The Journal of Inclusive Practice in Further and Higher Education </w:t>
      </w:r>
      <w:r w:rsidR="002C6B14">
        <w:t>11</w:t>
      </w:r>
      <w:r w:rsidRPr="00A854C4">
        <w:t>:</w:t>
      </w:r>
      <w:r w:rsidR="002C6B14">
        <w:t>2</w:t>
      </w:r>
      <w:r w:rsidRPr="00A854C4">
        <w:t xml:space="preserve"> </w:t>
      </w:r>
      <w:r w:rsidR="002C6B14">
        <w:t>December 2019</w:t>
      </w:r>
    </w:p>
    <w:p w14:paraId="60BBA652" w14:textId="521EB176" w:rsidR="007F625E" w:rsidRPr="00A854C4" w:rsidRDefault="002C6B14" w:rsidP="007F625E">
      <w:pPr>
        <w:pStyle w:val="Title"/>
      </w:pPr>
      <w:r>
        <w:t>The 20</w:t>
      </w:r>
      <w:r w:rsidRPr="002C6B14">
        <w:rPr>
          <w:vertAlign w:val="superscript"/>
        </w:rPr>
        <w:t>th</w:t>
      </w:r>
      <w:r>
        <w:t xml:space="preserve"> anniversary</w:t>
      </w:r>
      <w:r w:rsidR="007F625E" w:rsidRPr="00A854C4">
        <w:t xml:space="preserve"> edition produced </w:t>
      </w:r>
      <w:r w:rsidR="007F625E" w:rsidRPr="006B6D27">
        <w:t xml:space="preserve">by NADP </w:t>
      </w:r>
      <w:r w:rsidR="007F625E" w:rsidRPr="00A854C4">
        <w:t xml:space="preserve">with </w:t>
      </w:r>
      <w:r w:rsidR="007F625E">
        <w:t>Dr John Conway editor</w:t>
      </w:r>
    </w:p>
    <w:p w14:paraId="19E894EC" w14:textId="77777777" w:rsidR="007F625E" w:rsidRPr="00A854C4" w:rsidRDefault="007F625E" w:rsidP="007F625E">
      <w:pPr>
        <w:jc w:val="center"/>
        <w:rPr>
          <w:b/>
          <w:bCs/>
          <w:sz w:val="22"/>
          <w:szCs w:val="22"/>
        </w:rPr>
      </w:pPr>
    </w:p>
    <w:p w14:paraId="0AA5E240" w14:textId="5FD77E0B" w:rsidR="007F625E" w:rsidRDefault="007F625E" w:rsidP="007F625E">
      <w:pPr>
        <w:pStyle w:val="Heading1"/>
      </w:pPr>
      <w:r>
        <w:t xml:space="preserve">Article </w:t>
      </w:r>
      <w:r w:rsidR="00CC5D15">
        <w:t>10</w:t>
      </w:r>
      <w:r>
        <w:t xml:space="preserve">: </w:t>
      </w:r>
      <w:r w:rsidR="00954839">
        <w:t>Book review:</w:t>
      </w:r>
      <w:r w:rsidR="00954839" w:rsidRPr="005F1DD9">
        <w:t xml:space="preserve"> </w:t>
      </w:r>
      <w:r w:rsidR="00954839">
        <w:t xml:space="preserve">The Inclusivity Gap (ed. </w:t>
      </w:r>
      <w:proofErr w:type="spellStart"/>
      <w:r w:rsidR="00954839" w:rsidRPr="00373FC6">
        <w:t>Karisa</w:t>
      </w:r>
      <w:proofErr w:type="spellEnd"/>
      <w:r w:rsidR="00954839" w:rsidRPr="00373FC6">
        <w:t xml:space="preserve"> </w:t>
      </w:r>
      <w:proofErr w:type="spellStart"/>
      <w:r w:rsidR="00954839" w:rsidRPr="00373FC6">
        <w:t>Křčmář</w:t>
      </w:r>
      <w:proofErr w:type="spellEnd"/>
      <w:r w:rsidR="00954839">
        <w:t>; 2019)</w:t>
      </w:r>
    </w:p>
    <w:p w14:paraId="3597CB40" w14:textId="1E1B769D" w:rsidR="007F625E" w:rsidRPr="00A854C4" w:rsidRDefault="00954839" w:rsidP="00954839">
      <w:pPr>
        <w:pStyle w:val="Heading2"/>
        <w:rPr>
          <w:sz w:val="22"/>
          <w:szCs w:val="22"/>
        </w:rPr>
      </w:pPr>
      <w:r>
        <w:t>Reviewed by Christina Healey</w:t>
      </w:r>
      <w:r w:rsidR="004F0DD7">
        <w:t>.</w:t>
      </w:r>
    </w:p>
    <w:p w14:paraId="0AA7552A" w14:textId="77777777" w:rsidR="00954839" w:rsidRDefault="00954839" w:rsidP="00954839">
      <w:pPr>
        <w:spacing w:line="276" w:lineRule="auto"/>
      </w:pPr>
    </w:p>
    <w:p w14:paraId="507AF337" w14:textId="77777777" w:rsidR="00954839" w:rsidRPr="00373FC6" w:rsidRDefault="00954839" w:rsidP="00954839">
      <w:proofErr w:type="spellStart"/>
      <w:r w:rsidRPr="00373FC6">
        <w:t>Křčmář</w:t>
      </w:r>
      <w:proofErr w:type="spellEnd"/>
      <w:r>
        <w:t xml:space="preserve">, K. ed. 2019 The Inclusivity Gap. Aberdeen, UK: Inspired by Learning. 428 pp. </w:t>
      </w:r>
      <w:r w:rsidRPr="00373FC6">
        <w:t xml:space="preserve">34.68 € / £ 32.04 (eBook Single Download) </w:t>
      </w:r>
    </w:p>
    <w:p w14:paraId="17D15F59" w14:textId="77777777" w:rsidR="00954839" w:rsidRPr="00373FC6" w:rsidRDefault="00954839" w:rsidP="00954839">
      <w:pPr>
        <w:rPr>
          <w:rFonts w:eastAsia="Times New Roman"/>
          <w:lang w:eastAsia="en-GB"/>
        </w:rPr>
      </w:pPr>
      <w:r w:rsidRPr="00373FC6">
        <w:rPr>
          <w:rFonts w:eastAsia="Times New Roman"/>
          <w:lang w:eastAsia="en-GB"/>
        </w:rPr>
        <w:t xml:space="preserve">91.85 € / £ 84.84 (eBook Unlimited Download) </w:t>
      </w:r>
    </w:p>
    <w:p w14:paraId="56438F0E" w14:textId="77777777" w:rsidR="00954839" w:rsidRPr="00A35A5B" w:rsidRDefault="00954839" w:rsidP="00954839">
      <w:pPr>
        <w:rPr>
          <w:rFonts w:eastAsia="Times New Roman"/>
        </w:rPr>
      </w:pPr>
      <w:r>
        <w:t xml:space="preserve">ISBN (e-book): 978-1-909876-10-1 </w:t>
      </w:r>
      <w:hyperlink r:id="rId7" w:history="1">
        <w:r w:rsidRPr="00A35A5B">
          <w:rPr>
            <w:rStyle w:val="Hyperlink"/>
            <w:rFonts w:cs="Calibri Light"/>
          </w:rPr>
          <w:t>www.inspiredbylearning.eu</w:t>
        </w:r>
      </w:hyperlink>
    </w:p>
    <w:p w14:paraId="78D3EEFD" w14:textId="77777777" w:rsidR="00954839" w:rsidRDefault="00954839" w:rsidP="00954839"/>
    <w:p w14:paraId="7584571E" w14:textId="77777777" w:rsidR="00954839" w:rsidRPr="00954839" w:rsidRDefault="00954839" w:rsidP="00954839">
      <w:pPr>
        <w:rPr>
          <w:iCs/>
          <w:szCs w:val="28"/>
        </w:rPr>
      </w:pPr>
      <w:r w:rsidRPr="00954839">
        <w:rPr>
          <w:iCs/>
          <w:szCs w:val="28"/>
        </w:rPr>
        <w:t>NB A version of this review was circulated among Association of Dyslexia Specialists in HE (ADSHE) on 4</w:t>
      </w:r>
      <w:r w:rsidRPr="00954839">
        <w:rPr>
          <w:iCs/>
          <w:szCs w:val="28"/>
          <w:vertAlign w:val="superscript"/>
        </w:rPr>
        <w:t>th</w:t>
      </w:r>
      <w:r w:rsidRPr="00954839">
        <w:rPr>
          <w:iCs/>
          <w:szCs w:val="28"/>
        </w:rPr>
        <w:t>September 2019</w:t>
      </w:r>
    </w:p>
    <w:p w14:paraId="710F19CC" w14:textId="77777777" w:rsidR="00954839" w:rsidRPr="00954839" w:rsidRDefault="00954839" w:rsidP="00954839">
      <w:pPr>
        <w:rPr>
          <w:iCs/>
          <w:sz w:val="22"/>
          <w:szCs w:val="22"/>
        </w:rPr>
      </w:pPr>
    </w:p>
    <w:p w14:paraId="6B5DA9B5" w14:textId="77777777" w:rsidR="00954839" w:rsidRPr="00954839" w:rsidRDefault="00954839" w:rsidP="00954839">
      <w:pPr>
        <w:rPr>
          <w:iCs/>
        </w:rPr>
      </w:pPr>
      <w:r w:rsidRPr="00954839">
        <w:rPr>
          <w:iCs/>
        </w:rPr>
        <w:t xml:space="preserve">“Widening access matters, widening participation more so, but the learning journey and student success matters most of all… (the) wealth of understanding, evidence of effective practice and case study material present here should place </w:t>
      </w:r>
      <w:proofErr w:type="spellStart"/>
      <w:r w:rsidRPr="00954839">
        <w:rPr>
          <w:iCs/>
        </w:rPr>
        <w:t>Karisa</w:t>
      </w:r>
      <w:proofErr w:type="spellEnd"/>
      <w:r w:rsidRPr="00954839">
        <w:rPr>
          <w:iCs/>
        </w:rPr>
        <w:t xml:space="preserve"> </w:t>
      </w:r>
      <w:proofErr w:type="spellStart"/>
      <w:r w:rsidRPr="00954839">
        <w:rPr>
          <w:iCs/>
        </w:rPr>
        <w:t>Krčmář’s</w:t>
      </w:r>
      <w:proofErr w:type="spellEnd"/>
      <w:r w:rsidRPr="00954839">
        <w:rPr>
          <w:iCs/>
        </w:rPr>
        <w:t xml:space="preserve"> edited collection on… desks… across the United Kingdom and beyond.’</w:t>
      </w:r>
    </w:p>
    <w:p w14:paraId="034475AD" w14:textId="77777777" w:rsidR="00954839" w:rsidRPr="00954839" w:rsidRDefault="00954839" w:rsidP="00954839">
      <w:pPr>
        <w:rPr>
          <w:iCs/>
        </w:rPr>
      </w:pPr>
      <w:proofErr w:type="spellStart"/>
      <w:r w:rsidRPr="00954839">
        <w:rPr>
          <w:iCs/>
        </w:rPr>
        <w:t>Dr.</w:t>
      </w:r>
      <w:proofErr w:type="spellEnd"/>
      <w:r w:rsidRPr="00954839">
        <w:rPr>
          <w:iCs/>
        </w:rPr>
        <w:t xml:space="preserve"> John Carter, Vice Chancellor, Edge Hill University.</w:t>
      </w:r>
    </w:p>
    <w:p w14:paraId="74631721" w14:textId="77777777" w:rsidR="00954839" w:rsidRPr="00954839" w:rsidRDefault="00954839" w:rsidP="00954839">
      <w:pPr>
        <w:rPr>
          <w:iCs/>
        </w:rPr>
      </w:pPr>
    </w:p>
    <w:p w14:paraId="187B506B" w14:textId="77777777" w:rsidR="00954839" w:rsidRPr="00954839" w:rsidRDefault="00954839" w:rsidP="00954839">
      <w:pPr>
        <w:rPr>
          <w:iCs/>
        </w:rPr>
      </w:pPr>
      <w:r w:rsidRPr="00954839">
        <w:rPr>
          <w:iCs/>
        </w:rPr>
        <w:t>The book</w:t>
      </w:r>
      <w:r w:rsidRPr="00954839">
        <w:rPr>
          <w:b/>
          <w:iCs/>
        </w:rPr>
        <w:t xml:space="preserve"> </w:t>
      </w:r>
      <w:r w:rsidRPr="00954839">
        <w:rPr>
          <w:iCs/>
        </w:rPr>
        <w:t>starts by identifying three ’gaps’ in inclusive learning and teaching:</w:t>
      </w:r>
    </w:p>
    <w:p w14:paraId="4DC8D3FD" w14:textId="77777777" w:rsidR="00954839" w:rsidRPr="00954839" w:rsidRDefault="00954839" w:rsidP="00954839">
      <w:pPr>
        <w:rPr>
          <w:iCs/>
        </w:rPr>
      </w:pPr>
      <w:r w:rsidRPr="00954839">
        <w:rPr>
          <w:iCs/>
        </w:rPr>
        <w:t xml:space="preserve">“. . .  the gap between the assumptions of background preparedness for learning that students possess and those they actually do – the gap between teaching in a traditional way and learning in a different way – the gap between how traditional assessments are perceived to objectively measure knowledge and attainment and the reality of how differently individuals are able to express and prove their knowledge.”  </w:t>
      </w:r>
    </w:p>
    <w:p w14:paraId="2C7976D0" w14:textId="77777777" w:rsidR="00954839" w:rsidRPr="00954839" w:rsidRDefault="00954839" w:rsidP="00954839">
      <w:pPr>
        <w:rPr>
          <w:iCs/>
        </w:rPr>
      </w:pPr>
      <w:proofErr w:type="spellStart"/>
      <w:r w:rsidRPr="00954839">
        <w:rPr>
          <w:iCs/>
        </w:rPr>
        <w:t>Křčmář</w:t>
      </w:r>
      <w:proofErr w:type="spellEnd"/>
      <w:r w:rsidRPr="00954839">
        <w:rPr>
          <w:iCs/>
        </w:rPr>
        <w:t>, K. Editorial Introduction p.20</w:t>
      </w:r>
    </w:p>
    <w:p w14:paraId="4ACFE49A" w14:textId="77777777" w:rsidR="00954839" w:rsidRDefault="00954839" w:rsidP="00954839"/>
    <w:p w14:paraId="2481B606" w14:textId="77777777" w:rsidR="00954839" w:rsidRDefault="00954839" w:rsidP="00954839">
      <w:r>
        <w:t xml:space="preserve">This is an edited compilation organised into an </w:t>
      </w:r>
      <w:r>
        <w:rPr>
          <w:b/>
        </w:rPr>
        <w:t xml:space="preserve">Introduction </w:t>
      </w:r>
      <w:r w:rsidRPr="007B098F">
        <w:t>and three parts:</w:t>
      </w:r>
      <w:r>
        <w:rPr>
          <w:b/>
        </w:rPr>
        <w:t xml:space="preserve">  Part 1 The Student Population </w:t>
      </w:r>
      <w:r>
        <w:t>presents a range of ‘non- traditional</w:t>
      </w:r>
      <w:bookmarkStart w:id="0" w:name="_GoBack"/>
      <w:bookmarkEnd w:id="0"/>
      <w:r>
        <w:t xml:space="preserve">’ students;  </w:t>
      </w:r>
      <w:r>
        <w:rPr>
          <w:b/>
        </w:rPr>
        <w:t xml:space="preserve">Part 2 Inclusive Practice for HEPs </w:t>
      </w:r>
      <w:r>
        <w:t xml:space="preserve">looks at the consequences of a more diverse student population; and </w:t>
      </w:r>
      <w:r>
        <w:rPr>
          <w:b/>
        </w:rPr>
        <w:t xml:space="preserve">Part 3 Examples of Good Practice </w:t>
      </w:r>
      <w:r>
        <w:t>leaves the theory and the frameworks to return to examples of good practice.  Altogether, in addition to the editor, there are thirty-eight contributors. This book on Inclusivity is nothing if not inclusive.</w:t>
      </w:r>
    </w:p>
    <w:p w14:paraId="1F30C1FF" w14:textId="77777777" w:rsidR="00954839" w:rsidRDefault="00954839" w:rsidP="00954839">
      <w:pPr>
        <w:rPr>
          <w:b/>
        </w:rPr>
      </w:pPr>
    </w:p>
    <w:p w14:paraId="2C8F27DC" w14:textId="77777777" w:rsidR="00954839" w:rsidRDefault="00954839" w:rsidP="00954839">
      <w:pPr>
        <w:rPr>
          <w:b/>
          <w:i/>
        </w:rPr>
      </w:pPr>
      <w:r>
        <w:t xml:space="preserve">The real strength of </w:t>
      </w:r>
      <w:r>
        <w:rPr>
          <w:b/>
        </w:rPr>
        <w:t>The Inclusivity Gap</w:t>
      </w:r>
      <w:r>
        <w:t xml:space="preserve"> lies in the editorial approach.  Not only is the book comprehensive but also coherent. For </w:t>
      </w:r>
      <w:proofErr w:type="spellStart"/>
      <w:r w:rsidRPr="00373FC6">
        <w:t>Křčmář</w:t>
      </w:r>
      <w:proofErr w:type="spellEnd"/>
      <w:r>
        <w:t xml:space="preserve"> the focus is always on </w:t>
      </w:r>
      <w:r>
        <w:rPr>
          <w:b/>
        </w:rPr>
        <w:t xml:space="preserve">why </w:t>
      </w:r>
      <w:r>
        <w:t xml:space="preserve">an inclusive approach is needed.  She critiques the present ‘medical model’ for </w:t>
      </w:r>
      <w:r>
        <w:lastRenderedPageBreak/>
        <w:t xml:space="preserve">identified “disabilities” which, she claims, directly promotes a deficit approach and what she calls ‘the exclusive model of teaching and learning’ (p.39). She also asks what is one of the crucial questions in the book:  </w:t>
      </w:r>
      <w:r>
        <w:rPr>
          <w:b/>
          <w:i/>
        </w:rPr>
        <w:t>What is the academic world’s responsibility for its students?</w:t>
      </w:r>
    </w:p>
    <w:p w14:paraId="0AF8DCB2" w14:textId="77777777" w:rsidR="00954839" w:rsidRDefault="00954839" w:rsidP="00954839"/>
    <w:p w14:paraId="08374DDE" w14:textId="77777777" w:rsidR="00954839" w:rsidRDefault="00954839" w:rsidP="00954839">
      <w:r>
        <w:t xml:space="preserve">This book will not satisfy everyone. Conventionally, as your reviewer, given more space I could come up with all sorts of quibbles.  But then </w:t>
      </w:r>
      <w:r>
        <w:rPr>
          <w:b/>
        </w:rPr>
        <w:t>The Inclusivity Gap</w:t>
      </w:r>
      <w:r>
        <w:t xml:space="preserve"> is not a textbook but a library full of possibilities for practitioners and managers.  The editor sees it </w:t>
      </w:r>
      <w:r>
        <w:rPr>
          <w:i/>
        </w:rPr>
        <w:t xml:space="preserve">“as the beginning of a dialogue… that… will stimulate further scholarship, debate, developments… just the first in a series… where we can share good practice in </w:t>
      </w:r>
      <w:proofErr w:type="gramStart"/>
      <w:r>
        <w:rPr>
          <w:i/>
        </w:rPr>
        <w:t xml:space="preserve">inclusivity“ </w:t>
      </w:r>
      <w:r>
        <w:t>(</w:t>
      </w:r>
      <w:proofErr w:type="spellStart"/>
      <w:proofErr w:type="gramEnd"/>
      <w:r w:rsidRPr="00373FC6">
        <w:t>Křčmář</w:t>
      </w:r>
      <w:proofErr w:type="spellEnd"/>
      <w:r>
        <w:t xml:space="preserve">, p. 34). </w:t>
      </w:r>
    </w:p>
    <w:p w14:paraId="4CB2EFC6" w14:textId="77777777" w:rsidR="00954839" w:rsidRDefault="00954839" w:rsidP="00954839"/>
    <w:p w14:paraId="07A56CA1" w14:textId="77777777" w:rsidR="00954839" w:rsidRDefault="00954839" w:rsidP="00954839">
      <w:pPr>
        <w:jc w:val="center"/>
      </w:pPr>
      <w:r>
        <w:t xml:space="preserve">Buy it, </w:t>
      </w:r>
      <w:proofErr w:type="gramStart"/>
      <w:r>
        <w:t>Read</w:t>
      </w:r>
      <w:proofErr w:type="gramEnd"/>
      <w:r>
        <w:t xml:space="preserve"> it, Use it. Add to it. </w:t>
      </w:r>
    </w:p>
    <w:p w14:paraId="70450CF7" w14:textId="77777777" w:rsidR="00954839" w:rsidRDefault="00954839" w:rsidP="00954839">
      <w:pPr>
        <w:jc w:val="center"/>
      </w:pPr>
      <w:r>
        <w:t xml:space="preserve">Get your Institution to do the same. </w:t>
      </w:r>
    </w:p>
    <w:p w14:paraId="240F4D94" w14:textId="77777777" w:rsidR="00954839" w:rsidRDefault="00954839" w:rsidP="00954839">
      <w:pPr>
        <w:jc w:val="center"/>
      </w:pPr>
      <w:r>
        <w:t>Insert it into every teacher training course in every HEI in the country.</w:t>
      </w:r>
    </w:p>
    <w:p w14:paraId="7A1FE554" w14:textId="77777777" w:rsidR="00954839" w:rsidRDefault="00954839" w:rsidP="00954839"/>
    <w:p w14:paraId="34ADBB0E" w14:textId="77777777" w:rsidR="00954839" w:rsidRDefault="00954839" w:rsidP="00954839">
      <w:r>
        <w:rPr>
          <w:b/>
        </w:rPr>
        <w:t>Reviewer’s details</w:t>
      </w:r>
      <w:r>
        <w:t xml:space="preserve">:  Christina Healey </w:t>
      </w:r>
      <w:r>
        <w:rPr>
          <w:color w:val="0070C0"/>
          <w:u w:val="single"/>
        </w:rPr>
        <w:t>c.healey@sheffield.ac.uk</w:t>
      </w:r>
      <w:r>
        <w:t xml:space="preserve"> (NADP NM-R/1013 &amp; ADSHE QA87) is an independent practitioner, writer and researcher in academic language and learning across Further &amp; Higher Education. She has three degrees in English and is a practising dyslexic.</w:t>
      </w:r>
    </w:p>
    <w:p w14:paraId="07EDE586" w14:textId="77777777" w:rsidR="00954839" w:rsidRDefault="00954839" w:rsidP="00954839"/>
    <w:p w14:paraId="6810492C" w14:textId="46F9D6F6" w:rsidR="00954839" w:rsidRPr="00954839" w:rsidRDefault="00954839" w:rsidP="00954839"/>
    <w:sectPr w:rsidR="00954839" w:rsidRPr="00954839" w:rsidSect="00507E2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420F2" w14:textId="77777777" w:rsidR="00CE3E91" w:rsidRDefault="00CE3E91" w:rsidP="004F0DD7">
      <w:r>
        <w:separator/>
      </w:r>
    </w:p>
  </w:endnote>
  <w:endnote w:type="continuationSeparator" w:id="0">
    <w:p w14:paraId="76A31B08" w14:textId="77777777" w:rsidR="00CE3E91" w:rsidRDefault="00CE3E91" w:rsidP="004F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Noto 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7934" w14:textId="0AA61032" w:rsidR="004F0DD7" w:rsidRDefault="00074D98">
    <w:pPr>
      <w:pStyle w:val="Footer"/>
    </w:pPr>
    <w:r>
      <w:rPr>
        <w:rFonts w:ascii="Noto Serif" w:hAnsi="Noto Serif"/>
        <w:color w:val="191E23"/>
        <w:shd w:val="clear" w:color="auto" w:fill="FFFFFF"/>
      </w:rPr>
      <w:t xml:space="preserve">Healey, C. (2019) Book review: The Inclusivity Gap. </w:t>
    </w:r>
    <w:r>
      <w:rPr>
        <w:rStyle w:val="Emphasis"/>
        <w:rFonts w:ascii="Noto Serif" w:hAnsi="Noto Serif"/>
        <w:color w:val="191E23"/>
        <w:shd w:val="clear" w:color="auto" w:fill="FFFFFF"/>
      </w:rPr>
      <w:t xml:space="preserve">Journal of Inclusive Practice in Further and Higher Education. </w:t>
    </w:r>
    <w:r>
      <w:rPr>
        <w:rFonts w:ascii="Noto Serif" w:hAnsi="Noto Serif"/>
        <w:color w:val="191E23"/>
        <w:shd w:val="clear" w:color="auto" w:fill="FFFFFF"/>
      </w:rPr>
      <w:t>Issue 11.2. pp. 139-140.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9D254" w14:textId="77777777" w:rsidR="00CE3E91" w:rsidRDefault="00CE3E91" w:rsidP="004F0DD7">
      <w:r>
        <w:separator/>
      </w:r>
    </w:p>
  </w:footnote>
  <w:footnote w:type="continuationSeparator" w:id="0">
    <w:p w14:paraId="56B10DEA" w14:textId="77777777" w:rsidR="00CE3E91" w:rsidRDefault="00CE3E91" w:rsidP="004F0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580A1D"/>
    <w:multiLevelType w:val="multilevel"/>
    <w:tmpl w:val="48868A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25E"/>
    <w:rsid w:val="00074D98"/>
    <w:rsid w:val="001A7ABC"/>
    <w:rsid w:val="00272864"/>
    <w:rsid w:val="002C6B14"/>
    <w:rsid w:val="004C3382"/>
    <w:rsid w:val="004F0DD7"/>
    <w:rsid w:val="00507E2B"/>
    <w:rsid w:val="0054743B"/>
    <w:rsid w:val="006F2EFD"/>
    <w:rsid w:val="00795EB9"/>
    <w:rsid w:val="007F625E"/>
    <w:rsid w:val="008C1D18"/>
    <w:rsid w:val="008C3A3F"/>
    <w:rsid w:val="009323E1"/>
    <w:rsid w:val="00954839"/>
    <w:rsid w:val="00AA51E6"/>
    <w:rsid w:val="00BB4B2D"/>
    <w:rsid w:val="00BD6147"/>
    <w:rsid w:val="00C4599B"/>
    <w:rsid w:val="00CC5D15"/>
    <w:rsid w:val="00CE3E91"/>
    <w:rsid w:val="00F91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A5476"/>
  <w15:chartTrackingRefBased/>
  <w15:docId w15:val="{15770124-2E3E-442D-AF05-4116CAE2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25E"/>
    <w:pPr>
      <w:suppressAutoHyphens/>
      <w:spacing w:after="0" w:line="240" w:lineRule="auto"/>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795EB9"/>
    <w:pPr>
      <w:keepNext/>
      <w:keepLines/>
      <w:suppressAutoHyphens w:val="0"/>
      <w:spacing w:before="240" w:line="259" w:lineRule="auto"/>
      <w:outlineLvl w:val="0"/>
    </w:pPr>
    <w:rPr>
      <w:rFonts w:asciiTheme="majorHAnsi" w:eastAsiaTheme="majorEastAsia" w:hAnsiTheme="majorHAnsi" w:cstheme="majorBidi"/>
      <w:b/>
      <w:sz w:val="32"/>
      <w:szCs w:val="32"/>
      <w:lang w:eastAsia="en-US"/>
    </w:rPr>
  </w:style>
  <w:style w:type="paragraph" w:styleId="Heading2">
    <w:name w:val="heading 2"/>
    <w:basedOn w:val="Normal"/>
    <w:next w:val="Normal"/>
    <w:link w:val="Heading2Char"/>
    <w:uiPriority w:val="9"/>
    <w:unhideWhenUsed/>
    <w:qFormat/>
    <w:rsid w:val="007F625E"/>
    <w:pPr>
      <w:keepNext/>
      <w:spacing w:before="240" w:after="60"/>
      <w:outlineLvl w:val="1"/>
    </w:pPr>
    <w:rPr>
      <w:rFonts w:ascii="Calibri Light" w:eastAsia="Times New Roman" w:hAnsi="Calibri Light" w:cs="Times New Roman"/>
      <w:b/>
      <w:bCs/>
      <w:iCs/>
      <w:sz w:val="28"/>
      <w:szCs w:val="28"/>
    </w:rPr>
  </w:style>
  <w:style w:type="paragraph" w:styleId="Heading3">
    <w:name w:val="heading 3"/>
    <w:basedOn w:val="Normal"/>
    <w:next w:val="Normal"/>
    <w:link w:val="Heading3Char"/>
    <w:uiPriority w:val="9"/>
    <w:semiHidden/>
    <w:unhideWhenUsed/>
    <w:qFormat/>
    <w:rsid w:val="00F91399"/>
    <w:pPr>
      <w:keepNext/>
      <w:numPr>
        <w:ilvl w:val="2"/>
        <w:numId w:val="1"/>
      </w:numPr>
      <w:suppressAutoHyphens w:val="0"/>
      <w:spacing w:before="240" w:after="6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F91399"/>
    <w:pPr>
      <w:keepNext/>
      <w:numPr>
        <w:ilvl w:val="3"/>
        <w:numId w:val="1"/>
      </w:numPr>
      <w:suppressAutoHyphens w:val="0"/>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F91399"/>
    <w:pPr>
      <w:numPr>
        <w:ilvl w:val="4"/>
        <w:numId w:val="1"/>
      </w:numPr>
      <w:suppressAutoHyphens w:val="0"/>
      <w:spacing w:before="240" w:after="6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F91399"/>
    <w:pPr>
      <w:numPr>
        <w:ilvl w:val="5"/>
        <w:numId w:val="1"/>
      </w:numPr>
      <w:suppressAutoHyphens w:val="0"/>
      <w:spacing w:before="240" w:after="60"/>
      <w:outlineLvl w:val="5"/>
    </w:pPr>
    <w:rPr>
      <w:rFonts w:ascii="Times New Roman" w:eastAsia="Times New Roman" w:hAnsi="Times New Roman" w:cs="Times New Roman"/>
      <w:b/>
      <w:bCs/>
      <w:sz w:val="22"/>
      <w:szCs w:val="22"/>
      <w:lang w:val="en-US" w:eastAsia="en-US"/>
    </w:rPr>
  </w:style>
  <w:style w:type="paragraph" w:styleId="Heading7">
    <w:name w:val="heading 7"/>
    <w:basedOn w:val="Normal"/>
    <w:next w:val="Normal"/>
    <w:link w:val="Heading7Char"/>
    <w:uiPriority w:val="9"/>
    <w:semiHidden/>
    <w:unhideWhenUsed/>
    <w:qFormat/>
    <w:rsid w:val="00F91399"/>
    <w:pPr>
      <w:numPr>
        <w:ilvl w:val="6"/>
        <w:numId w:val="1"/>
      </w:numPr>
      <w:suppressAutoHyphens w:val="0"/>
      <w:spacing w:before="240" w:after="6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F91399"/>
    <w:pPr>
      <w:numPr>
        <w:ilvl w:val="7"/>
        <w:numId w:val="1"/>
      </w:numPr>
      <w:suppressAutoHyphens w:val="0"/>
      <w:spacing w:before="240" w:after="6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F91399"/>
    <w:pPr>
      <w:numPr>
        <w:ilvl w:val="8"/>
        <w:numId w:val="1"/>
      </w:numPr>
      <w:suppressAutoHyphens w:val="0"/>
      <w:spacing w:before="240" w:after="6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F625E"/>
    <w:rPr>
      <w:rFonts w:ascii="Calibri Light" w:eastAsia="Times New Roman" w:hAnsi="Calibri Light" w:cs="Times New Roman"/>
      <w:b/>
      <w:bCs/>
      <w:iCs/>
      <w:sz w:val="28"/>
      <w:szCs w:val="28"/>
      <w:lang w:eastAsia="ar-SA"/>
    </w:rPr>
  </w:style>
  <w:style w:type="paragraph" w:styleId="Title">
    <w:name w:val="Title"/>
    <w:basedOn w:val="Normal"/>
    <w:next w:val="Normal"/>
    <w:link w:val="TitleChar"/>
    <w:uiPriority w:val="10"/>
    <w:qFormat/>
    <w:rsid w:val="007F625E"/>
    <w:pPr>
      <w:spacing w:before="240" w:after="60"/>
      <w:jc w:val="center"/>
      <w:outlineLvl w:val="0"/>
    </w:pPr>
    <w:rPr>
      <w:rFonts w:ascii="Calibri Light" w:eastAsia="Times New Roman" w:hAnsi="Calibri Light" w:cs="Times New Roman"/>
      <w:b/>
      <w:bCs/>
      <w:kern w:val="28"/>
      <w:sz w:val="40"/>
      <w:szCs w:val="32"/>
    </w:rPr>
  </w:style>
  <w:style w:type="character" w:customStyle="1" w:styleId="TitleChar">
    <w:name w:val="Title Char"/>
    <w:basedOn w:val="DefaultParagraphFont"/>
    <w:link w:val="Title"/>
    <w:uiPriority w:val="10"/>
    <w:rsid w:val="007F625E"/>
    <w:rPr>
      <w:rFonts w:ascii="Calibri Light" w:eastAsia="Times New Roman" w:hAnsi="Calibri Light" w:cs="Times New Roman"/>
      <w:b/>
      <w:bCs/>
      <w:kern w:val="28"/>
      <w:sz w:val="40"/>
      <w:szCs w:val="32"/>
      <w:lang w:eastAsia="ar-SA"/>
    </w:rPr>
  </w:style>
  <w:style w:type="paragraph" w:styleId="Header">
    <w:name w:val="header"/>
    <w:basedOn w:val="Normal"/>
    <w:link w:val="HeaderChar"/>
    <w:uiPriority w:val="99"/>
    <w:unhideWhenUsed/>
    <w:rsid w:val="004F0DD7"/>
    <w:pPr>
      <w:tabs>
        <w:tab w:val="center" w:pos="4513"/>
        <w:tab w:val="right" w:pos="9026"/>
      </w:tabs>
    </w:pPr>
  </w:style>
  <w:style w:type="character" w:customStyle="1" w:styleId="HeaderChar">
    <w:name w:val="Header Char"/>
    <w:basedOn w:val="DefaultParagraphFont"/>
    <w:link w:val="Header"/>
    <w:uiPriority w:val="99"/>
    <w:rsid w:val="004F0DD7"/>
    <w:rPr>
      <w:rFonts w:ascii="Arial" w:eastAsia="SimSun" w:hAnsi="Arial" w:cs="Arial"/>
      <w:sz w:val="24"/>
      <w:szCs w:val="24"/>
      <w:lang w:eastAsia="ar-SA"/>
    </w:rPr>
  </w:style>
  <w:style w:type="paragraph" w:styleId="Footer">
    <w:name w:val="footer"/>
    <w:basedOn w:val="Normal"/>
    <w:link w:val="FooterChar"/>
    <w:uiPriority w:val="99"/>
    <w:unhideWhenUsed/>
    <w:rsid w:val="004F0DD7"/>
    <w:pPr>
      <w:tabs>
        <w:tab w:val="center" w:pos="4513"/>
        <w:tab w:val="right" w:pos="9026"/>
      </w:tabs>
    </w:pPr>
  </w:style>
  <w:style w:type="character" w:customStyle="1" w:styleId="FooterChar">
    <w:name w:val="Footer Char"/>
    <w:basedOn w:val="DefaultParagraphFont"/>
    <w:link w:val="Footer"/>
    <w:uiPriority w:val="99"/>
    <w:rsid w:val="004F0DD7"/>
    <w:rPr>
      <w:rFonts w:ascii="Arial" w:eastAsia="SimSun" w:hAnsi="Arial" w:cs="Arial"/>
      <w:sz w:val="24"/>
      <w:szCs w:val="24"/>
      <w:lang w:eastAsia="ar-SA"/>
    </w:rPr>
  </w:style>
  <w:style w:type="character" w:customStyle="1" w:styleId="Heading3Char">
    <w:name w:val="Heading 3 Char"/>
    <w:basedOn w:val="DefaultParagraphFont"/>
    <w:link w:val="Heading3"/>
    <w:uiPriority w:val="9"/>
    <w:semiHidden/>
    <w:rsid w:val="00F91399"/>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F91399"/>
    <w:rPr>
      <w:rFonts w:eastAsiaTheme="minorEastAsia"/>
      <w:b/>
      <w:bCs/>
      <w:sz w:val="28"/>
      <w:szCs w:val="28"/>
      <w:lang w:val="en-US"/>
    </w:rPr>
  </w:style>
  <w:style w:type="character" w:customStyle="1" w:styleId="Heading5Char">
    <w:name w:val="Heading 5 Char"/>
    <w:basedOn w:val="DefaultParagraphFont"/>
    <w:link w:val="Heading5"/>
    <w:uiPriority w:val="9"/>
    <w:semiHidden/>
    <w:rsid w:val="00F91399"/>
    <w:rPr>
      <w:rFonts w:eastAsiaTheme="minorEastAsia"/>
      <w:b/>
      <w:bCs/>
      <w:i/>
      <w:iCs/>
      <w:sz w:val="26"/>
      <w:szCs w:val="26"/>
      <w:lang w:val="en-US"/>
    </w:rPr>
  </w:style>
  <w:style w:type="character" w:customStyle="1" w:styleId="Heading6Char">
    <w:name w:val="Heading 6 Char"/>
    <w:basedOn w:val="DefaultParagraphFont"/>
    <w:link w:val="Heading6"/>
    <w:rsid w:val="00F9139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91399"/>
    <w:rPr>
      <w:rFonts w:eastAsiaTheme="minorEastAsia"/>
      <w:sz w:val="24"/>
      <w:szCs w:val="24"/>
      <w:lang w:val="en-US"/>
    </w:rPr>
  </w:style>
  <w:style w:type="character" w:customStyle="1" w:styleId="Heading8Char">
    <w:name w:val="Heading 8 Char"/>
    <w:basedOn w:val="DefaultParagraphFont"/>
    <w:link w:val="Heading8"/>
    <w:uiPriority w:val="9"/>
    <w:semiHidden/>
    <w:rsid w:val="00F91399"/>
    <w:rPr>
      <w:rFonts w:eastAsiaTheme="minorEastAsia"/>
      <w:i/>
      <w:iCs/>
      <w:sz w:val="24"/>
      <w:szCs w:val="24"/>
      <w:lang w:val="en-US"/>
    </w:rPr>
  </w:style>
  <w:style w:type="character" w:customStyle="1" w:styleId="Heading9Char">
    <w:name w:val="Heading 9 Char"/>
    <w:basedOn w:val="DefaultParagraphFont"/>
    <w:link w:val="Heading9"/>
    <w:uiPriority w:val="9"/>
    <w:semiHidden/>
    <w:rsid w:val="00F91399"/>
    <w:rPr>
      <w:rFonts w:asciiTheme="majorHAnsi" w:eastAsiaTheme="majorEastAsia" w:hAnsiTheme="majorHAnsi" w:cstheme="majorBidi"/>
      <w:lang w:val="en-US"/>
    </w:rPr>
  </w:style>
  <w:style w:type="character" w:styleId="Hyperlink">
    <w:name w:val="Hyperlink"/>
    <w:uiPriority w:val="99"/>
    <w:unhideWhenUsed/>
    <w:rsid w:val="00954839"/>
    <w:rPr>
      <w:color w:val="0563C1"/>
      <w:u w:val="single"/>
    </w:rPr>
  </w:style>
  <w:style w:type="character" w:styleId="Emphasis">
    <w:name w:val="Emphasis"/>
    <w:basedOn w:val="DefaultParagraphFont"/>
    <w:uiPriority w:val="20"/>
    <w:qFormat/>
    <w:rsid w:val="00074D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spiredbylearning.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3</cp:revision>
  <dcterms:created xsi:type="dcterms:W3CDTF">2020-04-08T08:24:00Z</dcterms:created>
  <dcterms:modified xsi:type="dcterms:W3CDTF">2020-04-08T08:39:00Z</dcterms:modified>
</cp:coreProperties>
</file>