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BE259" w14:textId="77777777" w:rsidR="004F5126" w:rsidRDefault="004F5126" w:rsidP="004F5126">
      <w:pPr>
        <w:pStyle w:val="Heading1"/>
      </w:pPr>
      <w:r>
        <w:t>Calculating Financial Reserves</w:t>
      </w:r>
    </w:p>
    <w:p w14:paraId="302748E6" w14:textId="447A6697" w:rsidR="004F5126" w:rsidRDefault="007D44ED" w:rsidP="004F5126">
      <w:r>
        <w:t>Full</w:t>
      </w:r>
      <w:bookmarkStart w:id="0" w:name="_GoBack"/>
      <w:bookmarkEnd w:id="0"/>
      <w:r w:rsidR="004F5126">
        <w:t xml:space="preserve"> report from the NADP Operations Manager </w:t>
      </w:r>
      <w:r w:rsidR="004F5126">
        <w:t>following</w:t>
      </w:r>
      <w:r w:rsidR="004F5126">
        <w:t xml:space="preserve"> the request of the Financial Planning Standing Committee (June 2019)</w:t>
      </w:r>
      <w:r w:rsidR="004F5126">
        <w:t>. This report contains all the information in the initial report with some extended financial analysis.</w:t>
      </w:r>
    </w:p>
    <w:p w14:paraId="2A08BA23" w14:textId="0BAFC87A" w:rsidR="004F5126" w:rsidRDefault="004F5126" w:rsidP="004F5126">
      <w:pPr>
        <w:pStyle w:val="Heading2"/>
      </w:pPr>
      <w:r>
        <w:t>Introduction</w:t>
      </w:r>
    </w:p>
    <w:p w14:paraId="71AA9B8D" w14:textId="4CF2CA15" w:rsidR="00881328" w:rsidRPr="00881328" w:rsidRDefault="00881328" w:rsidP="00846BF7">
      <w:r>
        <w:t xml:space="preserve">There is little information about setting financial reserves in the small not-for-profit sector. However, the Charity Commission publish relevant information. </w:t>
      </w:r>
      <w:r w:rsidR="00846BF7">
        <w:t>They recommend that mechanisms</w:t>
      </w:r>
      <w:r w:rsidR="003D4765">
        <w:t xml:space="preserve"> are developed</w:t>
      </w:r>
      <w:r w:rsidR="00846BF7">
        <w:t xml:space="preserve"> for ensuring that directors understand the issues involved; they are involved in the decision-making process; and formally agree and record the overall reserves policy.</w:t>
      </w:r>
    </w:p>
    <w:p w14:paraId="6E246DDA" w14:textId="29954D9D" w:rsidR="004F5126" w:rsidRDefault="004F5126" w:rsidP="004F5126">
      <w:r>
        <w:t xml:space="preserve">It </w:t>
      </w:r>
      <w:r>
        <w:t>may be</w:t>
      </w:r>
      <w:r>
        <w:t xml:space="preserve"> helpful for the Board of the National Association of Disability Practitioners to view our financial reserves as the funds that NADP can use to ‘buy some time’ in the event of reduced income, unexpected costs or changes in circumstances.</w:t>
      </w:r>
    </w:p>
    <w:p w14:paraId="06973D49" w14:textId="77777777" w:rsidR="004F5126" w:rsidRDefault="004F5126" w:rsidP="004F5126">
      <w:r>
        <w:t>Financial reserves are held by all companies to…</w:t>
      </w:r>
    </w:p>
    <w:p w14:paraId="4A114359" w14:textId="77777777" w:rsidR="004F5126" w:rsidRDefault="004F5126" w:rsidP="004F5126">
      <w:pPr>
        <w:pStyle w:val="ListParagraph"/>
        <w:numPr>
          <w:ilvl w:val="0"/>
          <w:numId w:val="1"/>
        </w:numPr>
      </w:pPr>
      <w:r>
        <w:t>Fund unexpected expenditure ie unplanned events or over-run of project expenditure or events not meeting target income</w:t>
      </w:r>
    </w:p>
    <w:p w14:paraId="13517E7C" w14:textId="5391F6B5" w:rsidR="004F5126" w:rsidRDefault="004F5126" w:rsidP="004F5126">
      <w:pPr>
        <w:pStyle w:val="ListParagraph"/>
        <w:numPr>
          <w:ilvl w:val="0"/>
          <w:numId w:val="1"/>
        </w:numPr>
      </w:pPr>
      <w:r>
        <w:t>Fund shortfalls in income ie when membership income fails to reach expected levels</w:t>
      </w:r>
    </w:p>
    <w:p w14:paraId="21B269BA" w14:textId="01D76A25" w:rsidR="001B10EF" w:rsidRDefault="001B10EF" w:rsidP="004F5126">
      <w:pPr>
        <w:pStyle w:val="ListParagraph"/>
        <w:numPr>
          <w:ilvl w:val="0"/>
          <w:numId w:val="1"/>
        </w:numPr>
      </w:pPr>
      <w:r>
        <w:t>Fund expenditure in advance of expected income.</w:t>
      </w:r>
    </w:p>
    <w:p w14:paraId="386E03A9" w14:textId="5A6FAF57" w:rsidR="004F5126" w:rsidRDefault="004F5126" w:rsidP="004F5126">
      <w:r>
        <w:t>There are a number of different approache</w:t>
      </w:r>
      <w:r>
        <w:t>s</w:t>
      </w:r>
      <w:r>
        <w:t xml:space="preserve"> to developing a reserves policy. Several different methods were researched but many were focused towards large companies and not applicable to a small not-for-profit company such as the National Association of Disability Practitioners. </w:t>
      </w:r>
    </w:p>
    <w:p w14:paraId="6F8F2F1A" w14:textId="301A49D2" w:rsidR="004F5126" w:rsidRDefault="004F5126" w:rsidP="004F5126">
      <w:r>
        <w:t xml:space="preserve">The approach recommended by the Operations Manager is that of Andrew Hind’s ‘risk identification’ approach which is outlined in his book: Governance and Management of Charities. </w:t>
      </w:r>
      <w:r>
        <w:t>The Operations Manager attended the Treasurer’s Association meeting which examined the analysis of financial reserves for small charities. The risk identification approach was recommended by the actuary advising the group.</w:t>
      </w:r>
    </w:p>
    <w:p w14:paraId="281C2B9B" w14:textId="77777777" w:rsidR="004F5126" w:rsidRDefault="004F5126" w:rsidP="004F5126">
      <w:pPr>
        <w:pStyle w:val="Heading2"/>
      </w:pPr>
      <w:r>
        <w:t>Analysis of Income</w:t>
      </w:r>
    </w:p>
    <w:p w14:paraId="5BC1A73C" w14:textId="46EE60FF" w:rsidR="004F5126" w:rsidRDefault="004F5126" w:rsidP="004F5126">
      <w:r>
        <w:t>A secure income stream results in less need for high reserve figures</w:t>
      </w:r>
      <w:r>
        <w:t xml:space="preserve"> and so the reliability of all income streams requires analysis.</w:t>
      </w:r>
    </w:p>
    <w:p w14:paraId="5EE74C0F" w14:textId="77777777" w:rsidR="004F5126" w:rsidRDefault="004F5126" w:rsidP="004F5126">
      <w:r>
        <w:t>A large number of small income sources = low risk</w:t>
      </w:r>
    </w:p>
    <w:p w14:paraId="6A5DD069" w14:textId="77777777" w:rsidR="004F5126" w:rsidRDefault="004F5126" w:rsidP="004F5126">
      <w:r>
        <w:t>A small number of large income sources = high risk</w:t>
      </w:r>
    </w:p>
    <w:p w14:paraId="2C074266" w14:textId="77777777" w:rsidR="004F5126" w:rsidRDefault="004F5126" w:rsidP="004F5126">
      <w:r>
        <w:lastRenderedPageBreak/>
        <w:t>The relative reliability of income sources can be calculated by multiplying the number of sources by the certainty of the source:</w:t>
      </w:r>
    </w:p>
    <w:p w14:paraId="2D8AFF73" w14:textId="77777777" w:rsidR="004F5126" w:rsidRDefault="004F5126" w:rsidP="004F5126">
      <w:r>
        <w:t>Number of sources of each particular income stream</w:t>
      </w:r>
    </w:p>
    <w:p w14:paraId="4876A1B0" w14:textId="77777777" w:rsidR="004F5126" w:rsidRDefault="004F5126" w:rsidP="004F5126">
      <w:r>
        <w:t>1 = very many</w:t>
      </w:r>
    </w:p>
    <w:p w14:paraId="0A25BEA6" w14:textId="77777777" w:rsidR="004F5126" w:rsidRDefault="004F5126" w:rsidP="004F5126">
      <w:r>
        <w:t>2 = several</w:t>
      </w:r>
    </w:p>
    <w:p w14:paraId="650F9462" w14:textId="77777777" w:rsidR="004F5126" w:rsidRDefault="004F5126" w:rsidP="004F5126">
      <w:r>
        <w:t>3 = few</w:t>
      </w:r>
    </w:p>
    <w:p w14:paraId="21BC68A4" w14:textId="77777777" w:rsidR="004F5126" w:rsidRDefault="004F5126" w:rsidP="004F5126">
      <w:r>
        <w:t>4 = one source or funder</w:t>
      </w:r>
    </w:p>
    <w:p w14:paraId="54072AC7" w14:textId="77777777" w:rsidR="004F5126" w:rsidRDefault="004F5126" w:rsidP="004F5126">
      <w:r>
        <w:t>How certain is the source of income for the future?</w:t>
      </w:r>
    </w:p>
    <w:p w14:paraId="3200EDE9" w14:textId="77777777" w:rsidR="004F5126" w:rsidRDefault="004F5126" w:rsidP="004F5126">
      <w:r>
        <w:t>1 = committed for indefinite future</w:t>
      </w:r>
    </w:p>
    <w:p w14:paraId="68B3C069" w14:textId="77777777" w:rsidR="004F5126" w:rsidRDefault="004F5126" w:rsidP="004F5126">
      <w:r>
        <w:t>2 = for a fixed period</w:t>
      </w:r>
    </w:p>
    <w:p w14:paraId="52E961E5" w14:textId="77777777" w:rsidR="004F5126" w:rsidRDefault="004F5126" w:rsidP="004F5126">
      <w:r>
        <w:t>3 = planning well underway or by implication – e.g. past pattern, verbal</w:t>
      </w:r>
    </w:p>
    <w:p w14:paraId="5E5D81A8" w14:textId="77777777" w:rsidR="004F5126" w:rsidRDefault="004F5126" w:rsidP="004F5126">
      <w:r>
        <w:t>assurance</w:t>
      </w:r>
    </w:p>
    <w:p w14:paraId="4443E059" w14:textId="77777777" w:rsidR="004F5126" w:rsidRDefault="004F5126" w:rsidP="004F5126">
      <w:r>
        <w:t>4 = not certain at all</w:t>
      </w:r>
    </w:p>
    <w:p w14:paraId="722401B1" w14:textId="77777777" w:rsidR="004F5126" w:rsidRDefault="004F5126" w:rsidP="004F5126"/>
    <w:tbl>
      <w:tblPr>
        <w:tblStyle w:val="TableGrid"/>
        <w:tblW w:w="0" w:type="auto"/>
        <w:tblLook w:val="04A0" w:firstRow="1" w:lastRow="0" w:firstColumn="1" w:lastColumn="0" w:noHBand="0" w:noVBand="1"/>
      </w:tblPr>
      <w:tblGrid>
        <w:gridCol w:w="1955"/>
        <w:gridCol w:w="1721"/>
        <w:gridCol w:w="1721"/>
        <w:gridCol w:w="1898"/>
        <w:gridCol w:w="1721"/>
      </w:tblGrid>
      <w:tr w:rsidR="004F5126" w14:paraId="6C270E65" w14:textId="77777777" w:rsidTr="004F5126">
        <w:tc>
          <w:tcPr>
            <w:tcW w:w="1955" w:type="dxa"/>
            <w:vAlign w:val="center"/>
          </w:tcPr>
          <w:p w14:paraId="2F397F0A" w14:textId="7DE639A1" w:rsidR="004F5126" w:rsidRPr="004F5126" w:rsidRDefault="004F5126" w:rsidP="004F5126">
            <w:pPr>
              <w:jc w:val="center"/>
              <w:rPr>
                <w:b/>
                <w:bCs/>
              </w:rPr>
            </w:pPr>
            <w:r w:rsidRPr="004F5126">
              <w:rPr>
                <w:b/>
                <w:bCs/>
              </w:rPr>
              <w:t xml:space="preserve">NADP </w:t>
            </w:r>
            <w:r w:rsidRPr="004F5126">
              <w:rPr>
                <w:b/>
                <w:bCs/>
              </w:rPr>
              <w:t>Income stream</w:t>
            </w:r>
          </w:p>
        </w:tc>
        <w:tc>
          <w:tcPr>
            <w:tcW w:w="1721" w:type="dxa"/>
            <w:vAlign w:val="center"/>
          </w:tcPr>
          <w:p w14:paraId="4BCB7F18" w14:textId="39E8D92A" w:rsidR="004F5126" w:rsidRPr="004F5126" w:rsidRDefault="004F5126" w:rsidP="004F5126">
            <w:pPr>
              <w:jc w:val="center"/>
              <w:rPr>
                <w:b/>
                <w:bCs/>
              </w:rPr>
            </w:pPr>
            <w:r w:rsidRPr="004F5126">
              <w:rPr>
                <w:b/>
                <w:bCs/>
              </w:rPr>
              <w:t xml:space="preserve">Score: </w:t>
            </w:r>
            <w:r w:rsidRPr="004F5126">
              <w:rPr>
                <w:b/>
                <w:bCs/>
              </w:rPr>
              <w:t>Number of Sources</w:t>
            </w:r>
          </w:p>
        </w:tc>
        <w:tc>
          <w:tcPr>
            <w:tcW w:w="1721" w:type="dxa"/>
            <w:vAlign w:val="center"/>
          </w:tcPr>
          <w:p w14:paraId="58D79B1A" w14:textId="25CF9869" w:rsidR="004F5126" w:rsidRPr="004F5126" w:rsidRDefault="004F5126" w:rsidP="004F5126">
            <w:pPr>
              <w:jc w:val="center"/>
              <w:rPr>
                <w:b/>
                <w:bCs/>
              </w:rPr>
            </w:pPr>
            <w:r w:rsidRPr="004F5126">
              <w:rPr>
                <w:b/>
                <w:bCs/>
              </w:rPr>
              <w:t xml:space="preserve">Score: </w:t>
            </w:r>
            <w:r w:rsidRPr="004F5126">
              <w:rPr>
                <w:b/>
                <w:bCs/>
              </w:rPr>
              <w:t>Certainty</w:t>
            </w:r>
          </w:p>
        </w:tc>
        <w:tc>
          <w:tcPr>
            <w:tcW w:w="1898" w:type="dxa"/>
            <w:vAlign w:val="center"/>
          </w:tcPr>
          <w:p w14:paraId="6266170D" w14:textId="77777777" w:rsidR="004F5126" w:rsidRPr="004F5126" w:rsidRDefault="004F5126" w:rsidP="004F5126">
            <w:pPr>
              <w:jc w:val="center"/>
              <w:rPr>
                <w:b/>
                <w:bCs/>
              </w:rPr>
            </w:pPr>
            <w:r w:rsidRPr="004F5126">
              <w:rPr>
                <w:b/>
                <w:bCs/>
              </w:rPr>
              <w:t>Relative Reliability Score</w:t>
            </w:r>
          </w:p>
        </w:tc>
        <w:tc>
          <w:tcPr>
            <w:tcW w:w="1721" w:type="dxa"/>
            <w:vAlign w:val="center"/>
          </w:tcPr>
          <w:p w14:paraId="018F2910" w14:textId="77777777" w:rsidR="004F5126" w:rsidRPr="004F5126" w:rsidRDefault="004F5126" w:rsidP="004F5126">
            <w:pPr>
              <w:jc w:val="center"/>
              <w:rPr>
                <w:b/>
                <w:bCs/>
              </w:rPr>
            </w:pPr>
            <w:r w:rsidRPr="004F5126">
              <w:rPr>
                <w:b/>
                <w:bCs/>
              </w:rPr>
              <w:t>Risk</w:t>
            </w:r>
          </w:p>
        </w:tc>
      </w:tr>
      <w:tr w:rsidR="004F5126" w14:paraId="607FC4E0" w14:textId="77777777" w:rsidTr="00D476D6">
        <w:tc>
          <w:tcPr>
            <w:tcW w:w="1955" w:type="dxa"/>
          </w:tcPr>
          <w:p w14:paraId="316032C1" w14:textId="77777777" w:rsidR="004F5126" w:rsidRDefault="004F5126" w:rsidP="00D476D6">
            <w:r>
              <w:t>Independent membership</w:t>
            </w:r>
          </w:p>
        </w:tc>
        <w:tc>
          <w:tcPr>
            <w:tcW w:w="1721" w:type="dxa"/>
            <w:vAlign w:val="center"/>
          </w:tcPr>
          <w:p w14:paraId="5287D115" w14:textId="77777777" w:rsidR="004F5126" w:rsidRDefault="004F5126" w:rsidP="00D476D6">
            <w:pPr>
              <w:jc w:val="center"/>
            </w:pPr>
            <w:r>
              <w:t>1</w:t>
            </w:r>
          </w:p>
        </w:tc>
        <w:tc>
          <w:tcPr>
            <w:tcW w:w="1721" w:type="dxa"/>
            <w:vAlign w:val="center"/>
          </w:tcPr>
          <w:p w14:paraId="3F6CEA98" w14:textId="77777777" w:rsidR="004F5126" w:rsidRDefault="004F5126" w:rsidP="00D476D6">
            <w:pPr>
              <w:jc w:val="center"/>
            </w:pPr>
            <w:r>
              <w:t>4</w:t>
            </w:r>
          </w:p>
        </w:tc>
        <w:tc>
          <w:tcPr>
            <w:tcW w:w="1898" w:type="dxa"/>
            <w:vAlign w:val="center"/>
          </w:tcPr>
          <w:p w14:paraId="5070AC80" w14:textId="77777777" w:rsidR="004F5126" w:rsidRDefault="004F5126" w:rsidP="00D476D6">
            <w:pPr>
              <w:jc w:val="center"/>
            </w:pPr>
            <w:r>
              <w:t>4</w:t>
            </w:r>
          </w:p>
        </w:tc>
        <w:tc>
          <w:tcPr>
            <w:tcW w:w="1721" w:type="dxa"/>
          </w:tcPr>
          <w:p w14:paraId="0D9677D4" w14:textId="77777777" w:rsidR="004F5126" w:rsidRDefault="004F5126" w:rsidP="00D476D6">
            <w:r>
              <w:t>Low</w:t>
            </w:r>
          </w:p>
        </w:tc>
      </w:tr>
      <w:tr w:rsidR="004F5126" w14:paraId="0D661363" w14:textId="77777777" w:rsidTr="00D476D6">
        <w:tc>
          <w:tcPr>
            <w:tcW w:w="1955" w:type="dxa"/>
          </w:tcPr>
          <w:p w14:paraId="20B09C72" w14:textId="77777777" w:rsidR="004F5126" w:rsidRDefault="004F5126" w:rsidP="00D476D6">
            <w:r>
              <w:t>Educational membership</w:t>
            </w:r>
          </w:p>
        </w:tc>
        <w:tc>
          <w:tcPr>
            <w:tcW w:w="1721" w:type="dxa"/>
            <w:vAlign w:val="center"/>
          </w:tcPr>
          <w:p w14:paraId="326E7770" w14:textId="77777777" w:rsidR="004F5126" w:rsidRDefault="004F5126" w:rsidP="00D476D6">
            <w:pPr>
              <w:jc w:val="center"/>
            </w:pPr>
            <w:r>
              <w:t>1</w:t>
            </w:r>
          </w:p>
        </w:tc>
        <w:tc>
          <w:tcPr>
            <w:tcW w:w="1721" w:type="dxa"/>
            <w:vAlign w:val="center"/>
          </w:tcPr>
          <w:p w14:paraId="52E8DC1A" w14:textId="77777777" w:rsidR="004F5126" w:rsidRDefault="004F5126" w:rsidP="00D476D6">
            <w:pPr>
              <w:jc w:val="center"/>
            </w:pPr>
            <w:r>
              <w:t>3</w:t>
            </w:r>
          </w:p>
        </w:tc>
        <w:tc>
          <w:tcPr>
            <w:tcW w:w="1898" w:type="dxa"/>
            <w:vAlign w:val="center"/>
          </w:tcPr>
          <w:p w14:paraId="4A50B82C" w14:textId="77777777" w:rsidR="004F5126" w:rsidRDefault="004F5126" w:rsidP="00D476D6">
            <w:pPr>
              <w:jc w:val="center"/>
            </w:pPr>
            <w:r>
              <w:t>3</w:t>
            </w:r>
          </w:p>
        </w:tc>
        <w:tc>
          <w:tcPr>
            <w:tcW w:w="1721" w:type="dxa"/>
          </w:tcPr>
          <w:p w14:paraId="15B64AF3" w14:textId="77777777" w:rsidR="004F5126" w:rsidRDefault="004F5126" w:rsidP="00D476D6">
            <w:r>
              <w:t>Low</w:t>
            </w:r>
          </w:p>
        </w:tc>
      </w:tr>
      <w:tr w:rsidR="004F5126" w14:paraId="7D178606" w14:textId="77777777" w:rsidTr="00D476D6">
        <w:tc>
          <w:tcPr>
            <w:tcW w:w="1955" w:type="dxa"/>
          </w:tcPr>
          <w:p w14:paraId="20027EE7" w14:textId="77777777" w:rsidR="004F5126" w:rsidRDefault="004F5126" w:rsidP="00D476D6">
            <w:r>
              <w:t>Association</w:t>
            </w:r>
          </w:p>
        </w:tc>
        <w:tc>
          <w:tcPr>
            <w:tcW w:w="1721" w:type="dxa"/>
            <w:vAlign w:val="center"/>
          </w:tcPr>
          <w:p w14:paraId="1ACB37C4" w14:textId="77777777" w:rsidR="004F5126" w:rsidRDefault="004F5126" w:rsidP="00D476D6">
            <w:pPr>
              <w:jc w:val="center"/>
            </w:pPr>
            <w:r>
              <w:t>3</w:t>
            </w:r>
          </w:p>
        </w:tc>
        <w:tc>
          <w:tcPr>
            <w:tcW w:w="1721" w:type="dxa"/>
            <w:vAlign w:val="center"/>
          </w:tcPr>
          <w:p w14:paraId="01271780" w14:textId="77777777" w:rsidR="004F5126" w:rsidRDefault="004F5126" w:rsidP="00D476D6">
            <w:pPr>
              <w:jc w:val="center"/>
            </w:pPr>
            <w:r>
              <w:t>4</w:t>
            </w:r>
          </w:p>
        </w:tc>
        <w:tc>
          <w:tcPr>
            <w:tcW w:w="1898" w:type="dxa"/>
            <w:vAlign w:val="center"/>
          </w:tcPr>
          <w:p w14:paraId="53BD2CF1" w14:textId="77777777" w:rsidR="004F5126" w:rsidRDefault="004F5126" w:rsidP="00D476D6">
            <w:pPr>
              <w:jc w:val="center"/>
            </w:pPr>
            <w:r>
              <w:t>12</w:t>
            </w:r>
          </w:p>
        </w:tc>
        <w:tc>
          <w:tcPr>
            <w:tcW w:w="1721" w:type="dxa"/>
          </w:tcPr>
          <w:p w14:paraId="1B71F02C" w14:textId="77777777" w:rsidR="004F5126" w:rsidRDefault="004F5126" w:rsidP="00D476D6">
            <w:r>
              <w:t>High</w:t>
            </w:r>
          </w:p>
        </w:tc>
      </w:tr>
      <w:tr w:rsidR="004F5126" w14:paraId="74CAA3EA" w14:textId="77777777" w:rsidTr="00D476D6">
        <w:tc>
          <w:tcPr>
            <w:tcW w:w="1955" w:type="dxa"/>
          </w:tcPr>
          <w:p w14:paraId="0A7D7D4F" w14:textId="77777777" w:rsidR="004F5126" w:rsidRDefault="004F5126" w:rsidP="00D476D6">
            <w:r>
              <w:t>Sponsorship</w:t>
            </w:r>
          </w:p>
        </w:tc>
        <w:tc>
          <w:tcPr>
            <w:tcW w:w="1721" w:type="dxa"/>
            <w:vAlign w:val="center"/>
          </w:tcPr>
          <w:p w14:paraId="0B3CED2F" w14:textId="77777777" w:rsidR="004F5126" w:rsidRDefault="004F5126" w:rsidP="00D476D6">
            <w:pPr>
              <w:jc w:val="center"/>
            </w:pPr>
            <w:r>
              <w:t>3</w:t>
            </w:r>
          </w:p>
        </w:tc>
        <w:tc>
          <w:tcPr>
            <w:tcW w:w="1721" w:type="dxa"/>
            <w:vAlign w:val="center"/>
          </w:tcPr>
          <w:p w14:paraId="3B63E15E" w14:textId="77777777" w:rsidR="004F5126" w:rsidRDefault="004F5126" w:rsidP="00D476D6">
            <w:pPr>
              <w:jc w:val="center"/>
            </w:pPr>
            <w:r>
              <w:t>4</w:t>
            </w:r>
          </w:p>
        </w:tc>
        <w:tc>
          <w:tcPr>
            <w:tcW w:w="1898" w:type="dxa"/>
            <w:vAlign w:val="center"/>
          </w:tcPr>
          <w:p w14:paraId="01C99CF5" w14:textId="77777777" w:rsidR="004F5126" w:rsidRDefault="004F5126" w:rsidP="00D476D6">
            <w:pPr>
              <w:jc w:val="center"/>
            </w:pPr>
            <w:r>
              <w:t>12</w:t>
            </w:r>
          </w:p>
        </w:tc>
        <w:tc>
          <w:tcPr>
            <w:tcW w:w="1721" w:type="dxa"/>
          </w:tcPr>
          <w:p w14:paraId="2E971342" w14:textId="77777777" w:rsidR="004F5126" w:rsidRDefault="004F5126" w:rsidP="00D476D6">
            <w:r>
              <w:t>High</w:t>
            </w:r>
          </w:p>
        </w:tc>
      </w:tr>
      <w:tr w:rsidR="004F5126" w14:paraId="7A660272" w14:textId="77777777" w:rsidTr="00D476D6">
        <w:tc>
          <w:tcPr>
            <w:tcW w:w="1955" w:type="dxa"/>
          </w:tcPr>
          <w:p w14:paraId="1CFF5028" w14:textId="77777777" w:rsidR="004F5126" w:rsidRDefault="004F5126" w:rsidP="00D476D6">
            <w:r>
              <w:t>Events</w:t>
            </w:r>
          </w:p>
        </w:tc>
        <w:tc>
          <w:tcPr>
            <w:tcW w:w="1721" w:type="dxa"/>
            <w:vAlign w:val="center"/>
          </w:tcPr>
          <w:p w14:paraId="09B2C3A9" w14:textId="77777777" w:rsidR="004F5126" w:rsidRDefault="004F5126" w:rsidP="00D476D6">
            <w:pPr>
              <w:jc w:val="center"/>
            </w:pPr>
            <w:r>
              <w:t>3</w:t>
            </w:r>
          </w:p>
        </w:tc>
        <w:tc>
          <w:tcPr>
            <w:tcW w:w="1721" w:type="dxa"/>
            <w:vAlign w:val="center"/>
          </w:tcPr>
          <w:p w14:paraId="2A08D58E" w14:textId="77777777" w:rsidR="004F5126" w:rsidRDefault="004F5126" w:rsidP="00D476D6">
            <w:pPr>
              <w:jc w:val="center"/>
            </w:pPr>
            <w:r>
              <w:t>3</w:t>
            </w:r>
          </w:p>
        </w:tc>
        <w:tc>
          <w:tcPr>
            <w:tcW w:w="1898" w:type="dxa"/>
            <w:vAlign w:val="center"/>
          </w:tcPr>
          <w:p w14:paraId="2FF5740A" w14:textId="77777777" w:rsidR="004F5126" w:rsidRDefault="004F5126" w:rsidP="00D476D6">
            <w:pPr>
              <w:jc w:val="center"/>
            </w:pPr>
            <w:r>
              <w:t>9</w:t>
            </w:r>
          </w:p>
        </w:tc>
        <w:tc>
          <w:tcPr>
            <w:tcW w:w="1721" w:type="dxa"/>
          </w:tcPr>
          <w:p w14:paraId="76717A19" w14:textId="77777777" w:rsidR="004F5126" w:rsidRDefault="004F5126" w:rsidP="00D476D6">
            <w:r>
              <w:t>Medium</w:t>
            </w:r>
          </w:p>
        </w:tc>
      </w:tr>
    </w:tbl>
    <w:p w14:paraId="3678C8E0" w14:textId="77777777" w:rsidR="004F5126" w:rsidRDefault="004F5126" w:rsidP="004F5126"/>
    <w:p w14:paraId="7C158584" w14:textId="77777777" w:rsidR="004F5126" w:rsidRDefault="004F5126" w:rsidP="004F5126">
      <w:pPr>
        <w:pStyle w:val="Heading2"/>
      </w:pPr>
      <w:r>
        <w:t>Analysis of Expenditure</w:t>
      </w:r>
    </w:p>
    <w:p w14:paraId="60B019FA" w14:textId="77777777" w:rsidR="004F5126" w:rsidRDefault="004F5126" w:rsidP="004F5126">
      <w:r>
        <w:t xml:space="preserve">The ideal pattern is to match the timing of outflows with inflows of income. Reserves are required to fund expenditure in advance of income. For NADP the major expenditure tends to be annual conference deposits and final payments that are required in advance of receiving delegates’ fees. </w:t>
      </w:r>
    </w:p>
    <w:p w14:paraId="5EE183EE" w14:textId="77777777" w:rsidR="004F5126" w:rsidRDefault="004F5126" w:rsidP="004F5126">
      <w:r>
        <w:t>Membership and Association fees are received spread out across the year which adds to our financial security and assists to match membership income with fixed NADP expenditure such as office rent and staff costs.</w:t>
      </w:r>
    </w:p>
    <w:p w14:paraId="4DDF8AC9" w14:textId="20ECCE3A" w:rsidR="004F5126" w:rsidRDefault="00C838A4" w:rsidP="00C838A4">
      <w:pPr>
        <w:pStyle w:val="Heading2"/>
      </w:pPr>
      <w:r>
        <w:lastRenderedPageBreak/>
        <w:t>Calculating Financial Reserves</w:t>
      </w:r>
    </w:p>
    <w:p w14:paraId="1379952A" w14:textId="7EC150C1" w:rsidR="007628BB" w:rsidRDefault="007628BB" w:rsidP="00C838A4">
      <w:r>
        <w:t>The Corporate Finance Institute recommend that ‘</w:t>
      </w:r>
      <w:r w:rsidRPr="007628BB">
        <w:t>a solid reserve is one that can take care of anywhere from three to six months of the company’s expenses</w:t>
      </w:r>
      <w:r>
        <w:t>’</w:t>
      </w:r>
      <w:r w:rsidR="004A1E52">
        <w:t xml:space="preserve"> ie those expenses required for the functioning of the company</w:t>
      </w:r>
      <w:r w:rsidRPr="007628BB">
        <w:t>.</w:t>
      </w:r>
      <w:r>
        <w:t xml:space="preserve"> Benchmarking against other, similar, organisations such as NASMA and AMOSSHE suggest that six months of company expenses is generally used in our sector.</w:t>
      </w:r>
    </w:p>
    <w:p w14:paraId="11216ACD" w14:textId="241F2114" w:rsidR="00C838A4" w:rsidRDefault="00C15D86" w:rsidP="00C838A4">
      <w:r>
        <w:t>In addition to company expenses, account needs to be taken of any high-risk activities. The Operations Manager recommends that measures are employed to counter these risks rather than keep excess money in reserve. Not-for-profit companies may be criticised for keeping high levels of reserves when other measures can be taken to mitigate the risk.</w:t>
      </w:r>
    </w:p>
    <w:p w14:paraId="42DDE9C6" w14:textId="77777777" w:rsidR="001B10EF" w:rsidRDefault="006552BE" w:rsidP="00C838A4">
      <w:pPr>
        <w:pStyle w:val="ListParagraph"/>
        <w:numPr>
          <w:ilvl w:val="0"/>
          <w:numId w:val="5"/>
        </w:numPr>
      </w:pPr>
      <w:r>
        <w:t>Total expenditure</w:t>
      </w:r>
      <w:r w:rsidR="006770FE">
        <w:t xml:space="preserve"> 2018-19:</w:t>
      </w:r>
      <w:r>
        <w:t xml:space="preserve"> £18</w:t>
      </w:r>
      <w:r w:rsidR="003D4765">
        <w:t>9,899</w:t>
      </w:r>
    </w:p>
    <w:p w14:paraId="5F26F86C" w14:textId="77777777" w:rsidR="001B10EF" w:rsidRDefault="006552BE" w:rsidP="00C838A4">
      <w:pPr>
        <w:pStyle w:val="ListParagraph"/>
        <w:numPr>
          <w:ilvl w:val="0"/>
          <w:numId w:val="5"/>
        </w:numPr>
      </w:pPr>
      <w:r>
        <w:t>Event expenditure</w:t>
      </w:r>
      <w:r w:rsidR="006770FE">
        <w:t xml:space="preserve"> 2018-19:</w:t>
      </w:r>
      <w:r>
        <w:t xml:space="preserve"> £101,758</w:t>
      </w:r>
    </w:p>
    <w:p w14:paraId="20C547E2" w14:textId="5396EBDE" w:rsidR="006770FE" w:rsidRDefault="0039111D" w:rsidP="00C838A4">
      <w:pPr>
        <w:pStyle w:val="ListParagraph"/>
        <w:numPr>
          <w:ilvl w:val="0"/>
          <w:numId w:val="5"/>
        </w:numPr>
      </w:pPr>
      <w:r>
        <w:t>Other c</w:t>
      </w:r>
      <w:r w:rsidR="006770FE">
        <w:t>ompany expenditure 2018-19: £8</w:t>
      </w:r>
      <w:r w:rsidR="003D4765">
        <w:t>8,141</w:t>
      </w:r>
    </w:p>
    <w:p w14:paraId="7F2C2BEA" w14:textId="626D0C74" w:rsidR="006770FE" w:rsidRDefault="006770FE" w:rsidP="00C838A4">
      <w:r>
        <w:t xml:space="preserve">This equates to </w:t>
      </w:r>
      <w:r w:rsidR="001B10EF">
        <w:t xml:space="preserve">holding </w:t>
      </w:r>
      <w:r>
        <w:t>approx. £4</w:t>
      </w:r>
      <w:r w:rsidR="003D4765">
        <w:t>4</w:t>
      </w:r>
      <w:r>
        <w:t xml:space="preserve">,000 </w:t>
      </w:r>
      <w:r w:rsidR="001B10EF">
        <w:t xml:space="preserve">as a base level in the bank </w:t>
      </w:r>
      <w:r>
        <w:t>for six months reserve</w:t>
      </w:r>
      <w:r w:rsidR="001B10EF">
        <w:t xml:space="preserve"> of set company expenditure. </w:t>
      </w:r>
    </w:p>
    <w:p w14:paraId="36DF6D36" w14:textId="46C7500B" w:rsidR="006552BE" w:rsidRDefault="003D4765" w:rsidP="00C838A4">
      <w:r>
        <w:t>NADP</w:t>
      </w:r>
      <w:r w:rsidR="001B10EF">
        <w:t xml:space="preserve"> Directors may wish to </w:t>
      </w:r>
      <w:r w:rsidR="0039111D">
        <w:t xml:space="preserve">consider </w:t>
      </w:r>
      <w:r w:rsidR="001B10EF">
        <w:t>increas</w:t>
      </w:r>
      <w:r w:rsidR="0039111D">
        <w:t>ing</w:t>
      </w:r>
      <w:r w:rsidR="001B10EF">
        <w:t xml:space="preserve"> this</w:t>
      </w:r>
      <w:r w:rsidR="006770FE">
        <w:t xml:space="preserve"> financial reserve </w:t>
      </w:r>
      <w:r w:rsidR="001B10EF">
        <w:t>to cover unexpected expenditure</w:t>
      </w:r>
      <w:r w:rsidR="0039111D">
        <w:t xml:space="preserve"> such as additional projects</w:t>
      </w:r>
      <w:r w:rsidR="000B4BFE">
        <w:t xml:space="preserve">. It should be noted that the addition of the costs associated with another member of staff will result in a requirement for increased financial reserves for the 2020-21 financial year. </w:t>
      </w:r>
    </w:p>
    <w:p w14:paraId="2F2FAB5F" w14:textId="0FDDE581" w:rsidR="00D46EBB" w:rsidRDefault="00D46EBB" w:rsidP="00D46EBB">
      <w:pPr>
        <w:pStyle w:val="Heading2"/>
      </w:pPr>
      <w:r>
        <w:t>General proposals</w:t>
      </w:r>
    </w:p>
    <w:p w14:paraId="5CC2E769" w14:textId="4BEFF061" w:rsidR="006770FE" w:rsidRDefault="00A03806" w:rsidP="006552BE">
      <w:pPr>
        <w:pStyle w:val="ListParagraph"/>
        <w:numPr>
          <w:ilvl w:val="0"/>
          <w:numId w:val="4"/>
        </w:numPr>
      </w:pPr>
      <w:r>
        <w:t xml:space="preserve">The </w:t>
      </w:r>
      <w:r w:rsidR="006770FE">
        <w:t>Operations Manager and Treasurer draw up an official Financial Reserves Policy for approval by the Board</w:t>
      </w:r>
    </w:p>
    <w:p w14:paraId="1058226F" w14:textId="2F58ED85" w:rsidR="00C15D86" w:rsidRDefault="006770FE" w:rsidP="006552BE">
      <w:pPr>
        <w:pStyle w:val="ListParagraph"/>
        <w:numPr>
          <w:ilvl w:val="0"/>
          <w:numId w:val="4"/>
        </w:numPr>
      </w:pPr>
      <w:r>
        <w:t xml:space="preserve">The </w:t>
      </w:r>
      <w:r w:rsidR="00A03806">
        <w:t xml:space="preserve">calculation of </w:t>
      </w:r>
      <w:r w:rsidR="00D46EBB">
        <w:t>company expenses should take place on a yearly basis to ensure that financial reserves remain sufficient.</w:t>
      </w:r>
    </w:p>
    <w:p w14:paraId="019CD1E0" w14:textId="32AFB802" w:rsidR="001B10EF" w:rsidRDefault="001B10EF" w:rsidP="006552BE">
      <w:pPr>
        <w:pStyle w:val="ListParagraph"/>
        <w:numPr>
          <w:ilvl w:val="0"/>
          <w:numId w:val="4"/>
        </w:numPr>
      </w:pPr>
      <w:r>
        <w:t xml:space="preserve">The financial reserve level for 2019-20 is set at £50,000 </w:t>
      </w:r>
    </w:p>
    <w:p w14:paraId="60BD9A36" w14:textId="77777777" w:rsidR="00D46EBB" w:rsidRDefault="00D46EBB" w:rsidP="00D46EBB">
      <w:pPr>
        <w:pStyle w:val="Heading2"/>
      </w:pPr>
      <w:r>
        <w:t>Proposals to lower risk factors for income streams</w:t>
      </w:r>
    </w:p>
    <w:p w14:paraId="64D1E9D3" w14:textId="717D367D" w:rsidR="00D46EBB" w:rsidRDefault="00D46EBB" w:rsidP="00D46EBB">
      <w:pPr>
        <w:pStyle w:val="ListParagraph"/>
        <w:numPr>
          <w:ilvl w:val="0"/>
          <w:numId w:val="2"/>
        </w:numPr>
      </w:pPr>
      <w:r>
        <w:t>Review association with NADP to produce more attractive package and encourage more associates – until this is achieved, it would be better to disregard association as a</w:t>
      </w:r>
      <w:r w:rsidR="003D4765">
        <w:t xml:space="preserve"> secure</w:t>
      </w:r>
      <w:r>
        <w:t xml:space="preserve"> income in calculations</w:t>
      </w:r>
    </w:p>
    <w:p w14:paraId="6404262E" w14:textId="77777777" w:rsidR="00D46EBB" w:rsidRDefault="00D46EBB" w:rsidP="00D46EBB">
      <w:pPr>
        <w:pStyle w:val="ListParagraph"/>
        <w:numPr>
          <w:ilvl w:val="0"/>
          <w:numId w:val="2"/>
        </w:numPr>
      </w:pPr>
      <w:r>
        <w:t>Review sponsorship in general with the aim of increasing number of sponsors both generally and for annual conference – until this is achieved, a high level of uncertainty should be used when using sponsorship figures to calculate annual conference delegate fees</w:t>
      </w:r>
    </w:p>
    <w:p w14:paraId="0E39AD72" w14:textId="77777777" w:rsidR="00D46EBB" w:rsidRDefault="00D46EBB" w:rsidP="00D46EBB">
      <w:pPr>
        <w:pStyle w:val="ListParagraph"/>
        <w:numPr>
          <w:ilvl w:val="0"/>
          <w:numId w:val="2"/>
        </w:numPr>
      </w:pPr>
      <w:r>
        <w:t>Introduce partnerships with the aim of encouraging more participation in events as well as support for NADP activities in general</w:t>
      </w:r>
    </w:p>
    <w:p w14:paraId="4E81B305" w14:textId="7DD4D93B" w:rsidR="00D46EBB" w:rsidRDefault="00D46EBB" w:rsidP="00C838A4">
      <w:pPr>
        <w:pStyle w:val="ListParagraph"/>
        <w:numPr>
          <w:ilvl w:val="0"/>
          <w:numId w:val="2"/>
        </w:numPr>
      </w:pPr>
      <w:r>
        <w:t>Further reduce risk for annual conference by taking ou</w:t>
      </w:r>
      <w:r w:rsidR="003D4765">
        <w:t>t</w:t>
      </w:r>
      <w:r>
        <w:t xml:space="preserve"> event insurance</w:t>
      </w:r>
    </w:p>
    <w:p w14:paraId="23CE1394" w14:textId="77777777" w:rsidR="00D46EBB" w:rsidRDefault="00D46EBB" w:rsidP="00D46EBB">
      <w:pPr>
        <w:pStyle w:val="Heading2"/>
      </w:pPr>
      <w:r>
        <w:lastRenderedPageBreak/>
        <w:t>Proposals to lower risk factors for expenditure</w:t>
      </w:r>
    </w:p>
    <w:p w14:paraId="33D1CF10" w14:textId="1B8308FF" w:rsidR="00D46EBB" w:rsidRDefault="00D46EBB" w:rsidP="00D46EBB">
      <w:pPr>
        <w:pStyle w:val="ListParagraph"/>
        <w:numPr>
          <w:ilvl w:val="0"/>
          <w:numId w:val="3"/>
        </w:numPr>
      </w:pPr>
      <w:r>
        <w:t xml:space="preserve">Organise events in good time to launch bookings as early as possible to ensure income is starting to be received before </w:t>
      </w:r>
      <w:r w:rsidR="006552BE">
        <w:t xml:space="preserve">main </w:t>
      </w:r>
      <w:r w:rsidR="003D4765">
        <w:t xml:space="preserve">financial </w:t>
      </w:r>
      <w:r>
        <w:t>outflow starts</w:t>
      </w:r>
    </w:p>
    <w:p w14:paraId="1301586E" w14:textId="6FEDE592" w:rsidR="00D46EBB" w:rsidRDefault="006552BE" w:rsidP="00D46EBB">
      <w:pPr>
        <w:pStyle w:val="ListParagraph"/>
        <w:numPr>
          <w:ilvl w:val="0"/>
          <w:numId w:val="3"/>
        </w:numPr>
      </w:pPr>
      <w:r>
        <w:t>Conference s</w:t>
      </w:r>
      <w:r w:rsidR="00D46EBB">
        <w:t xml:space="preserve">ponsorship organised </w:t>
      </w:r>
      <w:r w:rsidR="00795E70">
        <w:t xml:space="preserve">as </w:t>
      </w:r>
      <w:r w:rsidR="00D46EBB">
        <w:t>early</w:t>
      </w:r>
      <w:r w:rsidR="00795E70">
        <w:t xml:space="preserve"> as possible</w:t>
      </w:r>
      <w:r w:rsidR="00D46EBB">
        <w:t xml:space="preserve"> to </w:t>
      </w:r>
      <w:r w:rsidR="00795E70">
        <w:t>attempt to cover initial costs.</w:t>
      </w:r>
    </w:p>
    <w:p w14:paraId="1DB32DBF" w14:textId="77777777" w:rsidR="004F5126" w:rsidRDefault="004F5126" w:rsidP="004F5126">
      <w:pPr>
        <w:pStyle w:val="Heading2"/>
      </w:pPr>
      <w:r>
        <w:t>Conclusions</w:t>
      </w:r>
    </w:p>
    <w:p w14:paraId="7DEEC4A9" w14:textId="77777777" w:rsidR="004F5126" w:rsidRDefault="004F5126" w:rsidP="004F5126">
      <w:r>
        <w:t>The NADP Board of Directors are under a duty to ensure that the company is on a secure financial basis. A not-for-profit organisation needs to have sufficient reserves to cover known liabilities, cover setbacks and take advantage of change and opportunity. However, not-for-profit companies holding reserves that are greater than their needs can be held up for criticism.</w:t>
      </w:r>
    </w:p>
    <w:p w14:paraId="4BFB8426" w14:textId="2F33CBB8" w:rsidR="004F5126" w:rsidRDefault="004F5126" w:rsidP="004F5126">
      <w:r>
        <w:t xml:space="preserve">A secure reserves policy is the key element of strategic planning – NADP needs to ensure that reserves can cover </w:t>
      </w:r>
      <w:r w:rsidR="00C838A4">
        <w:t xml:space="preserve">risk when developing </w:t>
      </w:r>
      <w:r>
        <w:t>plans for the development of the accreditation scheme; new office staff and equipment etc.</w:t>
      </w:r>
    </w:p>
    <w:p w14:paraId="0B099048" w14:textId="256D5EDC" w:rsidR="004F5126" w:rsidRDefault="00795E70" w:rsidP="004F5126">
      <w:r>
        <w:t>Some of t</w:t>
      </w:r>
      <w:r w:rsidR="004F5126">
        <w:t>he proposals outlined above are already in progress by sub-groups of the NADP Board. This report gives the rationale for the work required and emphasises their importance of concluding this work as soon as possible.</w:t>
      </w:r>
    </w:p>
    <w:p w14:paraId="19B16A28" w14:textId="77777777" w:rsidR="004F5126" w:rsidRDefault="004F5126" w:rsidP="004F5126">
      <w:pPr>
        <w:pStyle w:val="Heading2"/>
      </w:pPr>
      <w:r>
        <w:t>Bibliography</w:t>
      </w:r>
    </w:p>
    <w:p w14:paraId="740BAB52" w14:textId="77777777" w:rsidR="004F5126" w:rsidRDefault="004F5126" w:rsidP="004F5126">
      <w:r>
        <w:t xml:space="preserve">Hind, Andrew, (1995). </w:t>
      </w:r>
      <w:r>
        <w:rPr>
          <w:i/>
          <w:iCs/>
        </w:rPr>
        <w:t>The Governance and Management of Charities.</w:t>
      </w:r>
      <w:r>
        <w:t xml:space="preserve"> Voluntary Sector Press.</w:t>
      </w:r>
    </w:p>
    <w:p w14:paraId="7EB851FC" w14:textId="77777777" w:rsidR="004F5126" w:rsidRDefault="004F5126" w:rsidP="004F5126">
      <w:r>
        <w:t xml:space="preserve">The Charity Commission (2003). </w:t>
      </w:r>
      <w:r w:rsidRPr="00936CD2">
        <w:rPr>
          <w:i/>
          <w:iCs/>
        </w:rPr>
        <w:t>RS5 Small charities and reserves</w:t>
      </w:r>
      <w:r>
        <w:t xml:space="preserve">. Available from: </w:t>
      </w:r>
      <w:hyperlink r:id="rId7" w:history="1">
        <w:r w:rsidRPr="00272196">
          <w:rPr>
            <w:rStyle w:val="Hyperlink"/>
          </w:rPr>
          <w:t>www.gov.uk/government/publications/smallcharities-and-reserves-rs5</w:t>
        </w:r>
      </w:hyperlink>
      <w:r>
        <w:t xml:space="preserve"> [Accessed 2nd Sept 2019]</w:t>
      </w:r>
    </w:p>
    <w:p w14:paraId="002E31A7" w14:textId="77777777" w:rsidR="004F5126" w:rsidRDefault="004F5126" w:rsidP="004F5126">
      <w:r>
        <w:t xml:space="preserve">The Charity Commission (2003). </w:t>
      </w:r>
      <w:r w:rsidRPr="000B3FFE">
        <w:rPr>
          <w:i/>
          <w:iCs/>
        </w:rPr>
        <w:t>RS3 Charity reserves</w:t>
      </w:r>
      <w:r>
        <w:t xml:space="preserve">. Available from: </w:t>
      </w:r>
      <w:hyperlink r:id="rId8" w:history="1">
        <w:r w:rsidRPr="00272196">
          <w:rPr>
            <w:rStyle w:val="Hyperlink"/>
          </w:rPr>
          <w:t>www.gov.uk/government/publications/charity-reserves-rs3</w:t>
        </w:r>
      </w:hyperlink>
      <w:r>
        <w:t xml:space="preserve"> [Accessed 2nd Sept 2019]</w:t>
      </w:r>
    </w:p>
    <w:p w14:paraId="073385F3" w14:textId="77777777" w:rsidR="004F5126" w:rsidRDefault="004F5126" w:rsidP="004F5126">
      <w:r>
        <w:t xml:space="preserve">The Charity Commission (2016). </w:t>
      </w:r>
      <w:r>
        <w:rPr>
          <w:i/>
          <w:iCs/>
        </w:rPr>
        <w:t xml:space="preserve">Charities and Reserves (CC19). </w:t>
      </w:r>
      <w:r>
        <w:t xml:space="preserve">Available from: </w:t>
      </w:r>
      <w:hyperlink r:id="rId9" w:history="1">
        <w:r w:rsidRPr="00272196">
          <w:rPr>
            <w:rStyle w:val="Hyperlink"/>
          </w:rPr>
          <w:t>www.gov.uk/government/publications/charities-and-reserves-cc19</w:t>
        </w:r>
      </w:hyperlink>
      <w:r>
        <w:t xml:space="preserve"> [Accessed 2nd Sept 2019]</w:t>
      </w:r>
    </w:p>
    <w:p w14:paraId="7B8EC43E" w14:textId="0114E332" w:rsidR="004F5126" w:rsidRDefault="00E11A08" w:rsidP="004F5126">
      <w:r>
        <w:t xml:space="preserve">The Corporate Finance Institute (2019). </w:t>
      </w:r>
      <w:r w:rsidR="007628BB">
        <w:rPr>
          <w:i/>
          <w:iCs/>
        </w:rPr>
        <w:t>How much should go into a cash reserve?</w:t>
      </w:r>
      <w:r w:rsidR="007628BB">
        <w:t xml:space="preserve"> Available from: </w:t>
      </w:r>
      <w:hyperlink r:id="rId10" w:history="1">
        <w:r w:rsidR="007628BB">
          <w:rPr>
            <w:rStyle w:val="Hyperlink"/>
          </w:rPr>
          <w:t>https://corporatefinanceinstitute.com/resources/knowledge/finance/cash-reserves/</w:t>
        </w:r>
      </w:hyperlink>
      <w:r w:rsidR="007628BB">
        <w:t xml:space="preserve"> [Accessed 19</w:t>
      </w:r>
      <w:r w:rsidR="007628BB" w:rsidRPr="007628BB">
        <w:rPr>
          <w:vertAlign w:val="superscript"/>
        </w:rPr>
        <w:t>th</w:t>
      </w:r>
      <w:r w:rsidR="007628BB">
        <w:t xml:space="preserve"> Nov 2019]</w:t>
      </w:r>
    </w:p>
    <w:p w14:paraId="6CEB6E28" w14:textId="77777777" w:rsidR="007628BB" w:rsidRPr="007628BB" w:rsidRDefault="007628BB" w:rsidP="004F5126"/>
    <w:p w14:paraId="640A492C" w14:textId="77777777" w:rsidR="008C39BF" w:rsidRDefault="008C39BF"/>
    <w:sectPr w:rsidR="008C39B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BA878" w14:textId="77777777" w:rsidR="005E7EFF" w:rsidRDefault="005E7EFF" w:rsidP="00C2316E">
      <w:pPr>
        <w:spacing w:after="0" w:line="240" w:lineRule="auto"/>
      </w:pPr>
      <w:r>
        <w:separator/>
      </w:r>
    </w:p>
  </w:endnote>
  <w:endnote w:type="continuationSeparator" w:id="0">
    <w:p w14:paraId="6A5F46F0" w14:textId="77777777" w:rsidR="005E7EFF" w:rsidRDefault="005E7EFF" w:rsidP="00C23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13A0D" w14:textId="0DD39C07" w:rsidR="00C2316E" w:rsidRDefault="00E877A9">
    <w:pPr>
      <w:pStyle w:val="Footer"/>
    </w:pPr>
    <w:r>
      <w:t>Lynn Wilson</w:t>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1B443B33" w14:textId="77777777" w:rsidR="00C2316E" w:rsidRDefault="00C23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8D0E8" w14:textId="77777777" w:rsidR="005E7EFF" w:rsidRDefault="005E7EFF" w:rsidP="00C2316E">
      <w:pPr>
        <w:spacing w:after="0" w:line="240" w:lineRule="auto"/>
      </w:pPr>
      <w:r>
        <w:separator/>
      </w:r>
    </w:p>
  </w:footnote>
  <w:footnote w:type="continuationSeparator" w:id="0">
    <w:p w14:paraId="594FCC7D" w14:textId="77777777" w:rsidR="005E7EFF" w:rsidRDefault="005E7EFF" w:rsidP="00C23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77F59"/>
    <w:multiLevelType w:val="hybridMultilevel"/>
    <w:tmpl w:val="A7666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455FD9"/>
    <w:multiLevelType w:val="hybridMultilevel"/>
    <w:tmpl w:val="B4C44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464C1"/>
    <w:multiLevelType w:val="hybridMultilevel"/>
    <w:tmpl w:val="035AEC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0F3995"/>
    <w:multiLevelType w:val="hybridMultilevel"/>
    <w:tmpl w:val="B6A2D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887754"/>
    <w:multiLevelType w:val="hybridMultilevel"/>
    <w:tmpl w:val="4DC4E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126"/>
    <w:rsid w:val="00023A2C"/>
    <w:rsid w:val="000673AE"/>
    <w:rsid w:val="000B4BFE"/>
    <w:rsid w:val="001B10EF"/>
    <w:rsid w:val="0039111D"/>
    <w:rsid w:val="003D4765"/>
    <w:rsid w:val="00425E4D"/>
    <w:rsid w:val="004A1E52"/>
    <w:rsid w:val="004F5126"/>
    <w:rsid w:val="005E7EFF"/>
    <w:rsid w:val="006552BE"/>
    <w:rsid w:val="006770FE"/>
    <w:rsid w:val="007628BB"/>
    <w:rsid w:val="00795E70"/>
    <w:rsid w:val="007D44ED"/>
    <w:rsid w:val="00846BF7"/>
    <w:rsid w:val="00881328"/>
    <w:rsid w:val="008C39BF"/>
    <w:rsid w:val="00A03806"/>
    <w:rsid w:val="00C15D86"/>
    <w:rsid w:val="00C2316E"/>
    <w:rsid w:val="00C838A4"/>
    <w:rsid w:val="00CF577A"/>
    <w:rsid w:val="00D46EBB"/>
    <w:rsid w:val="00E11A08"/>
    <w:rsid w:val="00E87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24384"/>
  <w15:chartTrackingRefBased/>
  <w15:docId w15:val="{13B2882E-B27E-4370-B9A5-648A09588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126"/>
  </w:style>
  <w:style w:type="paragraph" w:styleId="Heading1">
    <w:name w:val="heading 1"/>
    <w:basedOn w:val="Normal"/>
    <w:next w:val="Normal"/>
    <w:link w:val="Heading1Char"/>
    <w:autoRedefine/>
    <w:uiPriority w:val="9"/>
    <w:qFormat/>
    <w:rsid w:val="000673AE"/>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autoRedefine/>
    <w:uiPriority w:val="9"/>
    <w:unhideWhenUsed/>
    <w:qFormat/>
    <w:rsid w:val="000673AE"/>
    <w:pPr>
      <w:keepNext/>
      <w:keepLines/>
      <w:spacing w:before="40" w:after="0"/>
      <w:outlineLvl w:val="1"/>
    </w:pPr>
    <w:rPr>
      <w:rFonts w:asciiTheme="majorHAnsi" w:eastAsiaTheme="majorEastAsia" w:hAnsiTheme="majorHAnsi" w:cstheme="majorBidi"/>
      <w:b/>
      <w:sz w:val="26"/>
      <w:szCs w:val="26"/>
      <w:u w:val="single"/>
    </w:rPr>
  </w:style>
  <w:style w:type="paragraph" w:styleId="Heading3">
    <w:name w:val="heading 3"/>
    <w:basedOn w:val="Normal"/>
    <w:next w:val="Normal"/>
    <w:link w:val="Heading3Char"/>
    <w:uiPriority w:val="9"/>
    <w:semiHidden/>
    <w:unhideWhenUsed/>
    <w:qFormat/>
    <w:rsid w:val="004F512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3AE"/>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0673AE"/>
    <w:rPr>
      <w:rFonts w:asciiTheme="majorHAnsi" w:eastAsiaTheme="majorEastAsia" w:hAnsiTheme="majorHAnsi" w:cstheme="majorBidi"/>
      <w:b/>
      <w:sz w:val="26"/>
      <w:szCs w:val="26"/>
      <w:u w:val="single"/>
    </w:rPr>
  </w:style>
  <w:style w:type="paragraph" w:styleId="ListParagraph">
    <w:name w:val="List Paragraph"/>
    <w:basedOn w:val="Normal"/>
    <w:uiPriority w:val="34"/>
    <w:qFormat/>
    <w:rsid w:val="004F5126"/>
    <w:pPr>
      <w:ind w:left="720"/>
      <w:contextualSpacing/>
    </w:pPr>
  </w:style>
  <w:style w:type="character" w:customStyle="1" w:styleId="Heading3Char">
    <w:name w:val="Heading 3 Char"/>
    <w:basedOn w:val="DefaultParagraphFont"/>
    <w:link w:val="Heading3"/>
    <w:uiPriority w:val="9"/>
    <w:semiHidden/>
    <w:rsid w:val="004F5126"/>
    <w:rPr>
      <w:rFonts w:asciiTheme="majorHAnsi" w:eastAsiaTheme="majorEastAsia" w:hAnsiTheme="majorHAnsi" w:cstheme="majorBidi"/>
      <w:color w:val="1F3763" w:themeColor="accent1" w:themeShade="7F"/>
      <w:szCs w:val="24"/>
    </w:rPr>
  </w:style>
  <w:style w:type="table" w:styleId="TableGrid">
    <w:name w:val="Table Grid"/>
    <w:basedOn w:val="TableNormal"/>
    <w:uiPriority w:val="39"/>
    <w:rsid w:val="004F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5126"/>
    <w:rPr>
      <w:color w:val="0563C1" w:themeColor="hyperlink"/>
      <w:u w:val="single"/>
    </w:rPr>
  </w:style>
  <w:style w:type="character" w:styleId="FollowedHyperlink">
    <w:name w:val="FollowedHyperlink"/>
    <w:basedOn w:val="DefaultParagraphFont"/>
    <w:uiPriority w:val="99"/>
    <w:semiHidden/>
    <w:unhideWhenUsed/>
    <w:rsid w:val="00881328"/>
    <w:rPr>
      <w:color w:val="954F72" w:themeColor="followedHyperlink"/>
      <w:u w:val="single"/>
    </w:rPr>
  </w:style>
  <w:style w:type="paragraph" w:styleId="Header">
    <w:name w:val="header"/>
    <w:basedOn w:val="Normal"/>
    <w:link w:val="HeaderChar"/>
    <w:uiPriority w:val="99"/>
    <w:unhideWhenUsed/>
    <w:rsid w:val="00C23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16E"/>
  </w:style>
  <w:style w:type="paragraph" w:styleId="Footer">
    <w:name w:val="footer"/>
    <w:basedOn w:val="Normal"/>
    <w:link w:val="FooterChar"/>
    <w:uiPriority w:val="99"/>
    <w:unhideWhenUsed/>
    <w:rsid w:val="00C23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charity-reserves-rs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uk/government/publications/smallcharities-and-reserves-rs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orporatefinanceinstitute.com/resources/knowledge/finance/cash-reserves/" TargetMode="External"/><Relationship Id="rId4" Type="http://schemas.openxmlformats.org/officeDocument/2006/relationships/webSettings" Target="webSettings.xml"/><Relationship Id="rId9" Type="http://schemas.openxmlformats.org/officeDocument/2006/relationships/hyperlink" Target="http://www.gov.uk/government/publications/charities-and-reserves-cc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4</Pages>
  <Words>1184</Words>
  <Characters>6754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NADP</dc:creator>
  <cp:keywords/>
  <dc:description/>
  <cp:lastModifiedBy>NADP</cp:lastModifiedBy>
  <cp:revision>14</cp:revision>
  <dcterms:created xsi:type="dcterms:W3CDTF">2019-11-19T08:21:00Z</dcterms:created>
  <dcterms:modified xsi:type="dcterms:W3CDTF">2019-11-19T14:36:00Z</dcterms:modified>
</cp:coreProperties>
</file>